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0AC47" w14:textId="2A5BACFD" w:rsidR="00C36F60" w:rsidRPr="001957F0" w:rsidRDefault="001957F0" w:rsidP="001957F0">
      <w:pPr>
        <w:pStyle w:val="Heading2"/>
        <w:spacing w:before="0"/>
        <w:jc w:val="center"/>
        <w:rPr>
          <w:rFonts w:ascii="Times New Roman" w:hAnsi="Times New Roman"/>
          <w:szCs w:val="22"/>
          <w:lang w:val="en-US"/>
        </w:rPr>
      </w:pPr>
      <w:r w:rsidRPr="001957F0">
        <w:rPr>
          <w:rFonts w:ascii="Times New Roman" w:hAnsi="Times New Roman"/>
          <w:szCs w:val="22"/>
          <w:lang w:val="en-US"/>
        </w:rPr>
        <w:t>PROPOSAL FOR A GUARANTEED MINIMUM LEVEL OF IHO CAPACITY BUILDING FUND SHARE</w:t>
      </w:r>
    </w:p>
    <w:p w14:paraId="19D465DC" w14:textId="77777777" w:rsidR="008649FA" w:rsidRPr="001957F0" w:rsidRDefault="008649FA" w:rsidP="008649FA">
      <w:pPr>
        <w:rPr>
          <w:sz w:val="22"/>
          <w:szCs w:val="22"/>
        </w:rPr>
      </w:pPr>
    </w:p>
    <w:tbl>
      <w:tblPr>
        <w:tblW w:w="920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81"/>
        <w:gridCol w:w="6428"/>
      </w:tblGrid>
      <w:tr w:rsidR="004F5A06" w:rsidRPr="001957F0" w14:paraId="77B9BBD4" w14:textId="77777777" w:rsidTr="00B8628B">
        <w:trPr>
          <w:jc w:val="center"/>
        </w:trPr>
        <w:tc>
          <w:tcPr>
            <w:tcW w:w="2781" w:type="dxa"/>
          </w:tcPr>
          <w:p w14:paraId="0454731B" w14:textId="77777777" w:rsidR="004F5A06" w:rsidRPr="001957F0" w:rsidRDefault="004F5A06" w:rsidP="004F5A06">
            <w:pPr>
              <w:rPr>
                <w:b/>
                <w:i/>
                <w:sz w:val="22"/>
                <w:szCs w:val="22"/>
              </w:rPr>
            </w:pPr>
            <w:r w:rsidRPr="001957F0">
              <w:rPr>
                <w:sz w:val="22"/>
                <w:szCs w:val="22"/>
              </w:rPr>
              <w:br w:type="page"/>
            </w:r>
            <w:r w:rsidRPr="001957F0">
              <w:rPr>
                <w:b/>
                <w:i/>
                <w:sz w:val="22"/>
                <w:szCs w:val="22"/>
              </w:rPr>
              <w:t>Submitted by:</w:t>
            </w:r>
          </w:p>
        </w:tc>
        <w:tc>
          <w:tcPr>
            <w:tcW w:w="6428" w:type="dxa"/>
          </w:tcPr>
          <w:p w14:paraId="5B67D787" w14:textId="77777777" w:rsidR="004F5A06" w:rsidRPr="001957F0" w:rsidRDefault="001957F0" w:rsidP="0036094F">
            <w:pPr>
              <w:rPr>
                <w:sz w:val="22"/>
                <w:szCs w:val="22"/>
              </w:rPr>
            </w:pPr>
            <w:r w:rsidRPr="001957F0">
              <w:rPr>
                <w:sz w:val="22"/>
                <w:szCs w:val="22"/>
              </w:rPr>
              <w:t>IRCC Chair</w:t>
            </w:r>
          </w:p>
          <w:p w14:paraId="36D07F8B" w14:textId="2A535EC8" w:rsidR="001957F0" w:rsidRPr="001957F0" w:rsidRDefault="001957F0" w:rsidP="0036094F">
            <w:pPr>
              <w:rPr>
                <w:sz w:val="22"/>
                <w:szCs w:val="22"/>
              </w:rPr>
            </w:pPr>
          </w:p>
        </w:tc>
      </w:tr>
      <w:tr w:rsidR="00E15A31" w:rsidRPr="001957F0" w14:paraId="37B077F5" w14:textId="77777777" w:rsidTr="00B8628B">
        <w:trPr>
          <w:jc w:val="center"/>
        </w:trPr>
        <w:tc>
          <w:tcPr>
            <w:tcW w:w="2781" w:type="dxa"/>
          </w:tcPr>
          <w:p w14:paraId="2B67A708" w14:textId="77777777" w:rsidR="00E15A31" w:rsidRPr="001957F0" w:rsidRDefault="00E15A31" w:rsidP="00E15A31">
            <w:pPr>
              <w:rPr>
                <w:b/>
                <w:i/>
                <w:sz w:val="22"/>
                <w:szCs w:val="22"/>
              </w:rPr>
            </w:pPr>
            <w:r w:rsidRPr="001957F0">
              <w:rPr>
                <w:b/>
                <w:i/>
                <w:sz w:val="22"/>
                <w:szCs w:val="22"/>
              </w:rPr>
              <w:t>Executive Summary:</w:t>
            </w:r>
          </w:p>
        </w:tc>
        <w:tc>
          <w:tcPr>
            <w:tcW w:w="6428" w:type="dxa"/>
          </w:tcPr>
          <w:p w14:paraId="7C596751" w14:textId="77777777" w:rsidR="00E15A31" w:rsidRPr="001957F0" w:rsidRDefault="001957F0" w:rsidP="00C927CA">
            <w:pPr>
              <w:rPr>
                <w:sz w:val="22"/>
                <w:szCs w:val="22"/>
              </w:rPr>
            </w:pPr>
            <w:r w:rsidRPr="001957F0">
              <w:rPr>
                <w:sz w:val="22"/>
                <w:szCs w:val="22"/>
              </w:rPr>
              <w:t>This paper presents a p</w:t>
            </w:r>
            <w:r w:rsidR="001044B9" w:rsidRPr="001957F0">
              <w:rPr>
                <w:sz w:val="22"/>
                <w:szCs w:val="22"/>
              </w:rPr>
              <w:t xml:space="preserve">roposal </w:t>
            </w:r>
            <w:r w:rsidR="005D5BDB" w:rsidRPr="001957F0">
              <w:rPr>
                <w:sz w:val="22"/>
                <w:szCs w:val="22"/>
              </w:rPr>
              <w:t xml:space="preserve">for </w:t>
            </w:r>
            <w:r w:rsidR="001044B9" w:rsidRPr="001957F0">
              <w:rPr>
                <w:sz w:val="22"/>
                <w:szCs w:val="22"/>
              </w:rPr>
              <w:t xml:space="preserve">a guaranteed </w:t>
            </w:r>
            <w:r w:rsidR="005D5BDB" w:rsidRPr="001957F0">
              <w:rPr>
                <w:sz w:val="22"/>
                <w:szCs w:val="22"/>
              </w:rPr>
              <w:t xml:space="preserve">minimum </w:t>
            </w:r>
            <w:r w:rsidR="001044B9" w:rsidRPr="001957F0">
              <w:rPr>
                <w:sz w:val="22"/>
                <w:szCs w:val="22"/>
              </w:rPr>
              <w:t>level of IHO Capacity Building Fund share</w:t>
            </w:r>
          </w:p>
          <w:p w14:paraId="427FB0DA" w14:textId="7C6CFE01" w:rsidR="001957F0" w:rsidRPr="001957F0" w:rsidRDefault="001957F0" w:rsidP="00C927CA">
            <w:pPr>
              <w:rPr>
                <w:sz w:val="22"/>
                <w:szCs w:val="22"/>
              </w:rPr>
            </w:pPr>
          </w:p>
        </w:tc>
      </w:tr>
      <w:tr w:rsidR="00E15A31" w:rsidRPr="001957F0" w14:paraId="2B19C4AF" w14:textId="77777777" w:rsidTr="00B8628B">
        <w:trPr>
          <w:jc w:val="center"/>
        </w:trPr>
        <w:tc>
          <w:tcPr>
            <w:tcW w:w="2781" w:type="dxa"/>
          </w:tcPr>
          <w:p w14:paraId="07F6C6E7" w14:textId="77777777" w:rsidR="00E15A31" w:rsidRPr="001957F0" w:rsidRDefault="00E15A31" w:rsidP="00E15A31">
            <w:pPr>
              <w:rPr>
                <w:b/>
                <w:i/>
                <w:sz w:val="22"/>
                <w:szCs w:val="22"/>
              </w:rPr>
            </w:pPr>
            <w:r w:rsidRPr="001957F0">
              <w:rPr>
                <w:b/>
                <w:i/>
                <w:sz w:val="22"/>
                <w:szCs w:val="22"/>
              </w:rPr>
              <w:t>Related Documents:</w:t>
            </w:r>
          </w:p>
        </w:tc>
        <w:tc>
          <w:tcPr>
            <w:tcW w:w="6428" w:type="dxa"/>
          </w:tcPr>
          <w:p w14:paraId="2B22C352" w14:textId="0355568E" w:rsidR="00E15A31" w:rsidRPr="001957F0" w:rsidRDefault="008649FA" w:rsidP="00E15A31">
            <w:pPr>
              <w:rPr>
                <w:sz w:val="22"/>
                <w:szCs w:val="22"/>
              </w:rPr>
            </w:pPr>
            <w:r w:rsidRPr="001957F0">
              <w:rPr>
                <w:sz w:val="22"/>
                <w:szCs w:val="22"/>
              </w:rPr>
              <w:t>List of Actions</w:t>
            </w:r>
            <w:r w:rsidR="001957F0" w:rsidRPr="001957F0">
              <w:rPr>
                <w:sz w:val="22"/>
                <w:szCs w:val="22"/>
              </w:rPr>
              <w:t xml:space="preserve"> of</w:t>
            </w:r>
            <w:r w:rsidRPr="001957F0">
              <w:rPr>
                <w:sz w:val="22"/>
                <w:szCs w:val="22"/>
              </w:rPr>
              <w:t xml:space="preserve"> IRCC11</w:t>
            </w:r>
          </w:p>
          <w:p w14:paraId="213937AE" w14:textId="0CDD917B" w:rsidR="001957F0" w:rsidRPr="001957F0" w:rsidRDefault="001957F0" w:rsidP="00E15A31">
            <w:pPr>
              <w:rPr>
                <w:sz w:val="22"/>
                <w:szCs w:val="22"/>
              </w:rPr>
            </w:pPr>
          </w:p>
        </w:tc>
      </w:tr>
      <w:tr w:rsidR="00E15A31" w:rsidRPr="001957F0" w14:paraId="34FC0C26" w14:textId="77777777" w:rsidTr="00B8628B">
        <w:trPr>
          <w:jc w:val="center"/>
        </w:trPr>
        <w:tc>
          <w:tcPr>
            <w:tcW w:w="2781" w:type="dxa"/>
          </w:tcPr>
          <w:p w14:paraId="169B4970" w14:textId="77777777" w:rsidR="00E15A31" w:rsidRPr="001957F0" w:rsidRDefault="00E15A31" w:rsidP="00E15A31">
            <w:pPr>
              <w:rPr>
                <w:b/>
                <w:i/>
                <w:sz w:val="22"/>
                <w:szCs w:val="22"/>
              </w:rPr>
            </w:pPr>
            <w:r w:rsidRPr="001957F0">
              <w:rPr>
                <w:b/>
                <w:i/>
                <w:sz w:val="22"/>
                <w:szCs w:val="22"/>
              </w:rPr>
              <w:t>Related Projects:</w:t>
            </w:r>
          </w:p>
        </w:tc>
        <w:tc>
          <w:tcPr>
            <w:tcW w:w="6428" w:type="dxa"/>
          </w:tcPr>
          <w:p w14:paraId="5E5D1BB0" w14:textId="48422258" w:rsidR="00E15A31" w:rsidRPr="001957F0" w:rsidRDefault="001957F0" w:rsidP="00E15A31">
            <w:pPr>
              <w:rPr>
                <w:sz w:val="22"/>
                <w:szCs w:val="22"/>
              </w:rPr>
            </w:pPr>
            <w:r w:rsidRPr="001957F0">
              <w:rPr>
                <w:sz w:val="22"/>
                <w:szCs w:val="22"/>
              </w:rPr>
              <w:t>Nil</w:t>
            </w:r>
          </w:p>
        </w:tc>
      </w:tr>
    </w:tbl>
    <w:p w14:paraId="446AE625" w14:textId="77777777" w:rsidR="004F5A06" w:rsidRPr="001957F0" w:rsidRDefault="004F5A06" w:rsidP="001957F0">
      <w:pPr>
        <w:pStyle w:val="Heading2"/>
        <w:spacing w:after="120"/>
        <w:jc w:val="both"/>
        <w:rPr>
          <w:rFonts w:ascii="Times New Roman" w:hAnsi="Times New Roman"/>
          <w:szCs w:val="22"/>
          <w:lang w:val="en-US"/>
        </w:rPr>
      </w:pPr>
      <w:r w:rsidRPr="001957F0">
        <w:rPr>
          <w:rFonts w:ascii="Times New Roman" w:hAnsi="Times New Roman"/>
          <w:szCs w:val="22"/>
          <w:lang w:val="en-US"/>
        </w:rPr>
        <w:t>Introduction / Background</w:t>
      </w:r>
    </w:p>
    <w:p w14:paraId="540BF933" w14:textId="10E58089" w:rsidR="00E15A31" w:rsidRPr="001957F0" w:rsidRDefault="008649FA" w:rsidP="001957F0">
      <w:pPr>
        <w:pStyle w:val="ListParagraph"/>
        <w:numPr>
          <w:ilvl w:val="0"/>
          <w:numId w:val="19"/>
        </w:numPr>
        <w:spacing w:after="120" w:line="240" w:lineRule="auto"/>
        <w:ind w:left="0" w:firstLine="0"/>
        <w:contextualSpacing w:val="0"/>
      </w:pPr>
      <w:r w:rsidRPr="001957F0">
        <w:t>CBSC</w:t>
      </w:r>
      <w:r w:rsidR="003F4261" w:rsidRPr="001957F0">
        <w:t xml:space="preserve"> Chair</w:t>
      </w:r>
      <w:r w:rsidRPr="001957F0">
        <w:t xml:space="preserve"> addressed</w:t>
      </w:r>
      <w:r w:rsidR="003F4261" w:rsidRPr="001957F0">
        <w:t xml:space="preserve"> </w:t>
      </w:r>
      <w:r w:rsidRPr="001957F0">
        <w:t>IRCC</w:t>
      </w:r>
      <w:r w:rsidR="003F4261" w:rsidRPr="001957F0">
        <w:t>11</w:t>
      </w:r>
      <w:r w:rsidRPr="001957F0">
        <w:t xml:space="preserve"> regarding </w:t>
      </w:r>
      <w:r w:rsidR="004A07DC" w:rsidRPr="001957F0">
        <w:t xml:space="preserve">CBCS’ funding requests in relation to </w:t>
      </w:r>
      <w:r w:rsidRPr="001957F0">
        <w:t xml:space="preserve">the </w:t>
      </w:r>
      <w:r w:rsidR="003F4261" w:rsidRPr="001957F0">
        <w:t>available and planned budget</w:t>
      </w:r>
      <w:r w:rsidRPr="001957F0">
        <w:t xml:space="preserve"> </w:t>
      </w:r>
      <w:r w:rsidR="003F4261" w:rsidRPr="001957F0">
        <w:t xml:space="preserve">for </w:t>
      </w:r>
      <w:r w:rsidRPr="001957F0">
        <w:t xml:space="preserve">Capacity Building in 2019, 2020 and </w:t>
      </w:r>
      <w:r w:rsidR="004A07DC" w:rsidRPr="001957F0">
        <w:t xml:space="preserve">the forthcoming </w:t>
      </w:r>
      <w:r w:rsidR="00BF584A" w:rsidRPr="001957F0">
        <w:t xml:space="preserve">IHO </w:t>
      </w:r>
      <w:r w:rsidR="004A07DC" w:rsidRPr="001957F0">
        <w:t>3-years-budget planning from 2021 - 20</w:t>
      </w:r>
      <w:r w:rsidR="001957F0" w:rsidRPr="001957F0">
        <w:t>2</w:t>
      </w:r>
      <w:r w:rsidR="004A07DC" w:rsidRPr="001957F0">
        <w:t>3</w:t>
      </w:r>
      <w:r w:rsidRPr="001957F0">
        <w:t xml:space="preserve">. </w:t>
      </w:r>
      <w:r w:rsidR="004A07DC" w:rsidRPr="001957F0">
        <w:t>As a result of the follow</w:t>
      </w:r>
      <w:r w:rsidR="001957F0">
        <w:t>-</w:t>
      </w:r>
      <w:r w:rsidR="004A07DC" w:rsidRPr="001957F0">
        <w:t xml:space="preserve">up discussion, </w:t>
      </w:r>
      <w:r w:rsidR="00FB5CAC">
        <w:t xml:space="preserve">Action IRCC11/09 tasked </w:t>
      </w:r>
      <w:r w:rsidRPr="001957F0">
        <w:t xml:space="preserve">CBSC Chair </w:t>
      </w:r>
      <w:r w:rsidR="004A07DC" w:rsidRPr="001957F0">
        <w:t xml:space="preserve">to present a </w:t>
      </w:r>
      <w:r w:rsidRPr="001957F0">
        <w:t xml:space="preserve">more detailed </w:t>
      </w:r>
      <w:r w:rsidR="004A07DC" w:rsidRPr="001957F0">
        <w:t>explanation of CBSC’ funding request for consideration prior to C-3 in October 2019</w:t>
      </w:r>
      <w:r w:rsidR="00FB5CAC">
        <w:t>:</w:t>
      </w:r>
    </w:p>
    <w:p w14:paraId="77EF434C" w14:textId="1F3256B0" w:rsidR="005544C5" w:rsidRPr="00FB5CAC" w:rsidRDefault="005544C5" w:rsidP="00FB5CAC">
      <w:pPr>
        <w:ind w:left="357" w:right="357"/>
        <w:jc w:val="both"/>
        <w:rPr>
          <w:i/>
          <w:sz w:val="22"/>
          <w:szCs w:val="22"/>
        </w:rPr>
      </w:pPr>
      <w:r w:rsidRPr="00FB5CAC">
        <w:rPr>
          <w:i/>
          <w:sz w:val="22"/>
          <w:szCs w:val="22"/>
        </w:rPr>
        <w:t xml:space="preserve">Action </w:t>
      </w:r>
      <w:r w:rsidR="00FB5CAC" w:rsidRPr="00FB5CAC">
        <w:rPr>
          <w:i/>
          <w:sz w:val="22"/>
          <w:szCs w:val="22"/>
        </w:rPr>
        <w:t>IRCC11/0</w:t>
      </w:r>
      <w:r w:rsidRPr="00FB5CAC">
        <w:rPr>
          <w:i/>
          <w:sz w:val="22"/>
          <w:szCs w:val="22"/>
        </w:rPr>
        <w:t>9: CBSC to propose to the Council via IRCC to provide information on the minimum resources needed to support a sustainable level of CB activities in accordance with the strategy. Seek guidance on the way ahead to address the resource shortage and ensure a sustainable flow of resources.</w:t>
      </w:r>
    </w:p>
    <w:p w14:paraId="6A63F89C" w14:textId="77777777" w:rsidR="004F5A06" w:rsidRPr="001957F0" w:rsidRDefault="004F5A06" w:rsidP="001957F0">
      <w:pPr>
        <w:pStyle w:val="Heading2"/>
        <w:spacing w:after="120"/>
        <w:jc w:val="both"/>
        <w:rPr>
          <w:rFonts w:ascii="Times New Roman" w:hAnsi="Times New Roman"/>
          <w:szCs w:val="22"/>
          <w:lang w:val="en-US"/>
        </w:rPr>
      </w:pPr>
      <w:r w:rsidRPr="001957F0">
        <w:rPr>
          <w:rFonts w:ascii="Times New Roman" w:hAnsi="Times New Roman"/>
          <w:szCs w:val="22"/>
          <w:lang w:val="en-US"/>
        </w:rPr>
        <w:t>Analysis/Discussion</w:t>
      </w:r>
    </w:p>
    <w:p w14:paraId="395DFC07" w14:textId="6CDB084D" w:rsidR="00FD3655" w:rsidRPr="001957F0" w:rsidRDefault="004A07DC" w:rsidP="001957F0">
      <w:pPr>
        <w:pStyle w:val="ListParagraph"/>
        <w:numPr>
          <w:ilvl w:val="0"/>
          <w:numId w:val="19"/>
        </w:numPr>
        <w:spacing w:after="120" w:line="240" w:lineRule="auto"/>
        <w:ind w:left="0" w:firstLine="0"/>
        <w:contextualSpacing w:val="0"/>
      </w:pPr>
      <w:r w:rsidRPr="001957F0">
        <w:t xml:space="preserve">The strengthening of the IHO </w:t>
      </w:r>
      <w:r w:rsidR="006D76D4" w:rsidRPr="001957F0">
        <w:t>Capacity Building</w:t>
      </w:r>
      <w:r w:rsidRPr="001957F0">
        <w:t xml:space="preserve"> programme is stressed under the strategic direction 4.4 of the </w:t>
      </w:r>
      <w:r w:rsidR="00A7450D" w:rsidRPr="001957F0">
        <w:t>IHO Strategic Plan (2017) to better support the needs of Member States, especially those developing their capabilities from maritime safety information through surveying to nautical charting and marine spatial data infrastructure.</w:t>
      </w:r>
    </w:p>
    <w:p w14:paraId="6D93B444" w14:textId="67E598A3" w:rsidR="008649FA" w:rsidRPr="001957F0" w:rsidRDefault="008649FA" w:rsidP="001957F0">
      <w:pPr>
        <w:pStyle w:val="ListParagraph"/>
        <w:numPr>
          <w:ilvl w:val="0"/>
          <w:numId w:val="19"/>
        </w:numPr>
        <w:spacing w:after="120" w:line="240" w:lineRule="auto"/>
        <w:ind w:left="0" w:firstLine="0"/>
        <w:contextualSpacing w:val="0"/>
      </w:pPr>
      <w:r w:rsidRPr="001957F0">
        <w:t xml:space="preserve">The Capacity Building Fund receives </w:t>
      </w:r>
      <w:r w:rsidR="00B4258B" w:rsidRPr="001957F0">
        <w:t>contribution</w:t>
      </w:r>
      <w:r w:rsidR="00F35E9B" w:rsidRPr="001957F0">
        <w:t>s</w:t>
      </w:r>
      <w:r w:rsidR="00B4258B" w:rsidRPr="001957F0">
        <w:t xml:space="preserve"> from two sources</w:t>
      </w:r>
      <w:r w:rsidR="00733C86" w:rsidRPr="001957F0">
        <w:t>:</w:t>
      </w:r>
    </w:p>
    <w:p w14:paraId="44D4B73D" w14:textId="0B461255" w:rsidR="008649FA" w:rsidRPr="001957F0" w:rsidRDefault="008649FA" w:rsidP="00FB5CAC">
      <w:pPr>
        <w:pStyle w:val="ListParagraph"/>
        <w:numPr>
          <w:ilvl w:val="0"/>
          <w:numId w:val="12"/>
        </w:numPr>
        <w:ind w:left="1077" w:hanging="357"/>
        <w:rPr>
          <w:lang w:val="en-US"/>
        </w:rPr>
      </w:pPr>
      <w:r w:rsidRPr="001957F0">
        <w:rPr>
          <w:lang w:val="en-US"/>
        </w:rPr>
        <w:t xml:space="preserve">IHO budget (both regular annual contributions and eventual contributions from </w:t>
      </w:r>
      <w:r w:rsidR="008E5BE6" w:rsidRPr="001957F0">
        <w:rPr>
          <w:lang w:val="en-US"/>
        </w:rPr>
        <w:t xml:space="preserve">IHO’s overall annual </w:t>
      </w:r>
      <w:r w:rsidRPr="001957F0">
        <w:rPr>
          <w:lang w:val="en-US"/>
        </w:rPr>
        <w:t xml:space="preserve">budget surplus). </w:t>
      </w:r>
    </w:p>
    <w:p w14:paraId="2F866EBC" w14:textId="77777777" w:rsidR="008649FA" w:rsidRPr="001957F0" w:rsidRDefault="008649FA" w:rsidP="00FB5CAC">
      <w:pPr>
        <w:pStyle w:val="ListParagraph"/>
        <w:numPr>
          <w:ilvl w:val="0"/>
          <w:numId w:val="12"/>
        </w:numPr>
        <w:spacing w:after="120" w:line="240" w:lineRule="auto"/>
        <w:ind w:left="1077" w:hanging="357"/>
        <w:contextualSpacing w:val="0"/>
        <w:rPr>
          <w:lang w:val="en-US"/>
        </w:rPr>
      </w:pPr>
      <w:r w:rsidRPr="001957F0">
        <w:rPr>
          <w:lang w:val="en-US"/>
        </w:rPr>
        <w:t>Donations made by governments, other international organizations, funding agencies, public or private institutions, associations or private individuals in support of IHO Capacity Building initiatives.</w:t>
      </w:r>
    </w:p>
    <w:p w14:paraId="310FE2DB" w14:textId="6107F6E9" w:rsidR="008649FA" w:rsidRPr="001957F0" w:rsidRDefault="00FD3655" w:rsidP="001957F0">
      <w:pPr>
        <w:pStyle w:val="ListParagraph"/>
        <w:numPr>
          <w:ilvl w:val="0"/>
          <w:numId w:val="19"/>
        </w:numPr>
        <w:spacing w:after="120" w:line="240" w:lineRule="auto"/>
        <w:ind w:left="0" w:firstLine="0"/>
        <w:contextualSpacing w:val="0"/>
      </w:pPr>
      <w:r w:rsidRPr="001957F0">
        <w:t xml:space="preserve">The IHO </w:t>
      </w:r>
      <w:r w:rsidR="00C065BF" w:rsidRPr="001957F0">
        <w:t xml:space="preserve">Capacity Building Fund </w:t>
      </w:r>
      <w:r w:rsidR="00A7450D" w:rsidRPr="001957F0">
        <w:t xml:space="preserve">share </w:t>
      </w:r>
      <w:r w:rsidR="00C065BF" w:rsidRPr="001957F0">
        <w:t xml:space="preserve">as anchored in the IHO budget </w:t>
      </w:r>
      <w:r w:rsidRPr="001957F0">
        <w:t xml:space="preserve">is used for the </w:t>
      </w:r>
      <w:r w:rsidR="008E5BE6" w:rsidRPr="001957F0">
        <w:t xml:space="preserve">nominal </w:t>
      </w:r>
      <w:r w:rsidRPr="001957F0">
        <w:t xml:space="preserve">CB </w:t>
      </w:r>
      <w:r w:rsidR="00A7450D" w:rsidRPr="001957F0">
        <w:t>a</w:t>
      </w:r>
      <w:r w:rsidRPr="001957F0">
        <w:t xml:space="preserve">ssessment </w:t>
      </w:r>
      <w:r w:rsidR="00733C86" w:rsidRPr="001957F0">
        <w:t xml:space="preserve">of </w:t>
      </w:r>
      <w:r w:rsidR="008E5BE6" w:rsidRPr="001957F0">
        <w:t xml:space="preserve">needs for </w:t>
      </w:r>
      <w:r w:rsidR="00A7450D" w:rsidRPr="001957F0">
        <w:t>p</w:t>
      </w:r>
      <w:r w:rsidRPr="001957F0">
        <w:t>rovision</w:t>
      </w:r>
      <w:r w:rsidR="008E5BE6" w:rsidRPr="001957F0">
        <w:t xml:space="preserve"> of MSI</w:t>
      </w:r>
      <w:r w:rsidR="00733C86" w:rsidRPr="001957F0">
        <w:t>, surveying and charting</w:t>
      </w:r>
      <w:r w:rsidR="008E5BE6" w:rsidRPr="001957F0">
        <w:t xml:space="preserve"> training</w:t>
      </w:r>
      <w:r w:rsidR="00733C86" w:rsidRPr="001957F0">
        <w:t>s</w:t>
      </w:r>
      <w:r w:rsidRPr="001957F0">
        <w:t xml:space="preserve"> as requested by the RHCs, w</w:t>
      </w:r>
      <w:r w:rsidR="008649FA" w:rsidRPr="001957F0">
        <w:t xml:space="preserve">hilst the </w:t>
      </w:r>
      <w:r w:rsidR="00D43F07" w:rsidRPr="001957F0">
        <w:t>donations</w:t>
      </w:r>
      <w:r w:rsidR="008649FA" w:rsidRPr="001957F0">
        <w:t xml:space="preserve"> are generally earmarked by the </w:t>
      </w:r>
      <w:r w:rsidR="00A7450D" w:rsidRPr="001957F0">
        <w:t>benefactors</w:t>
      </w:r>
      <w:r w:rsidR="008649FA" w:rsidRPr="001957F0">
        <w:t xml:space="preserve"> for designated projects</w:t>
      </w:r>
      <w:r w:rsidR="00A7450D" w:rsidRPr="001957F0">
        <w:t xml:space="preserve"> according to their priorities</w:t>
      </w:r>
      <w:r w:rsidR="008649FA" w:rsidRPr="001957F0">
        <w:t>.</w:t>
      </w:r>
      <w:r w:rsidRPr="001957F0">
        <w:t xml:space="preserve"> Although the generous contribution from donors, especially but not limited to Republic of Korea and the Nippon Foundation is extremely </w:t>
      </w:r>
      <w:r w:rsidR="00A7450D" w:rsidRPr="001957F0">
        <w:t>effective</w:t>
      </w:r>
      <w:r w:rsidRPr="001957F0">
        <w:t xml:space="preserve">, </w:t>
      </w:r>
      <w:r w:rsidR="00A7450D" w:rsidRPr="001957F0">
        <w:t xml:space="preserve">the IHO </w:t>
      </w:r>
      <w:r w:rsidR="00C065BF" w:rsidRPr="001957F0">
        <w:t xml:space="preserve">Capacity Building Fund </w:t>
      </w:r>
      <w:r w:rsidR="00A7450D" w:rsidRPr="001957F0">
        <w:t xml:space="preserve">share constitutes the financial basis for </w:t>
      </w:r>
      <w:r w:rsidR="00AC3A75" w:rsidRPr="001957F0">
        <w:t>nominal conduct of CB programme activities.</w:t>
      </w:r>
    </w:p>
    <w:p w14:paraId="1BB8D626" w14:textId="30F90C79" w:rsidR="00AC3A75" w:rsidRPr="001957F0" w:rsidRDefault="008649FA" w:rsidP="001957F0">
      <w:pPr>
        <w:pStyle w:val="ListParagraph"/>
        <w:numPr>
          <w:ilvl w:val="0"/>
          <w:numId w:val="19"/>
        </w:numPr>
        <w:spacing w:after="120" w:line="240" w:lineRule="auto"/>
        <w:ind w:left="0" w:firstLine="0"/>
        <w:contextualSpacing w:val="0"/>
      </w:pPr>
      <w:r w:rsidRPr="001957F0">
        <w:t xml:space="preserve">The </w:t>
      </w:r>
      <w:r w:rsidR="00AC3A75" w:rsidRPr="001957F0">
        <w:t>three</w:t>
      </w:r>
      <w:r w:rsidR="00733C86" w:rsidRPr="001957F0">
        <w:t>-</w:t>
      </w:r>
      <w:r w:rsidR="00AC3A75" w:rsidRPr="001957F0">
        <w:t xml:space="preserve">year </w:t>
      </w:r>
      <w:r w:rsidR="00C065BF" w:rsidRPr="001957F0">
        <w:t>IHO Capacity Building Fund</w:t>
      </w:r>
      <w:r w:rsidR="00AC3A75" w:rsidRPr="001957F0">
        <w:t xml:space="preserve"> </w:t>
      </w:r>
      <w:r w:rsidR="00C065BF" w:rsidRPr="001957F0">
        <w:t xml:space="preserve">share </w:t>
      </w:r>
      <w:r w:rsidR="00AC3A75" w:rsidRPr="001957F0">
        <w:t>as proposed in 2016 and approved by the first IHO Assembly</w:t>
      </w:r>
      <w:r w:rsidRPr="001957F0">
        <w:t xml:space="preserve"> </w:t>
      </w:r>
      <w:r w:rsidR="00C065BF" w:rsidRPr="001957F0">
        <w:t xml:space="preserve">in </w:t>
      </w:r>
      <w:r w:rsidR="00AC3A75" w:rsidRPr="001957F0">
        <w:t xml:space="preserve">2017 </w:t>
      </w:r>
      <w:r w:rsidR="008943B6" w:rsidRPr="001957F0">
        <w:t>is a follows</w:t>
      </w:r>
      <w:r w:rsidR="00AC3A75" w:rsidRPr="001957F0">
        <w:t>:</w:t>
      </w:r>
    </w:p>
    <w:p w14:paraId="1CFC2BD3" w14:textId="77777777" w:rsidR="00AC3A75" w:rsidRPr="001957F0" w:rsidRDefault="00AC3A75" w:rsidP="001957F0">
      <w:pPr>
        <w:jc w:val="both"/>
        <w:rPr>
          <w:sz w:val="22"/>
          <w:szCs w:val="22"/>
        </w:rPr>
      </w:pPr>
    </w:p>
    <w:p w14:paraId="13EB8FF2" w14:textId="77777777" w:rsidR="008649FA" w:rsidRPr="001957F0" w:rsidRDefault="006D76D4" w:rsidP="00FB5CAC">
      <w:pPr>
        <w:pStyle w:val="ListParagraph"/>
        <w:numPr>
          <w:ilvl w:val="0"/>
          <w:numId w:val="12"/>
        </w:numPr>
        <w:ind w:left="1077" w:hanging="357"/>
        <w:rPr>
          <w:lang w:val="en-US"/>
        </w:rPr>
      </w:pPr>
      <w:r w:rsidRPr="001957F0">
        <w:rPr>
          <w:lang w:val="en-US"/>
        </w:rPr>
        <w:t>2018: 206 k€</w:t>
      </w:r>
      <w:r w:rsidR="000604D2" w:rsidRPr="001957F0">
        <w:rPr>
          <w:lang w:val="en-US"/>
        </w:rPr>
        <w:t xml:space="preserve"> (added by 100k€ from the accumulated surplus of 2017 – FCCL01/2018 refers)</w:t>
      </w:r>
    </w:p>
    <w:p w14:paraId="7CFEFC8B" w14:textId="113123B1" w:rsidR="00AC3A75" w:rsidRPr="001957F0" w:rsidRDefault="006D76D4" w:rsidP="00FB5CAC">
      <w:pPr>
        <w:pStyle w:val="ListParagraph"/>
        <w:numPr>
          <w:ilvl w:val="0"/>
          <w:numId w:val="12"/>
        </w:numPr>
        <w:ind w:left="1077" w:hanging="357"/>
        <w:rPr>
          <w:lang w:val="en-US"/>
        </w:rPr>
      </w:pPr>
      <w:r w:rsidRPr="001957F0">
        <w:rPr>
          <w:lang w:val="en-US"/>
        </w:rPr>
        <w:t>2019: 116 k€</w:t>
      </w:r>
      <w:r w:rsidR="00AC3A75" w:rsidRPr="001957F0">
        <w:rPr>
          <w:lang w:val="en-US"/>
        </w:rPr>
        <w:t xml:space="preserve"> </w:t>
      </w:r>
    </w:p>
    <w:p w14:paraId="5D2B49FE" w14:textId="77777777" w:rsidR="006D76D4" w:rsidRPr="001957F0" w:rsidRDefault="006D76D4" w:rsidP="00FB5CAC">
      <w:pPr>
        <w:pStyle w:val="ListParagraph"/>
        <w:numPr>
          <w:ilvl w:val="0"/>
          <w:numId w:val="12"/>
        </w:numPr>
        <w:ind w:left="1077" w:hanging="357"/>
        <w:rPr>
          <w:lang w:val="en-US"/>
        </w:rPr>
      </w:pPr>
      <w:r w:rsidRPr="001957F0">
        <w:rPr>
          <w:lang w:val="en-US"/>
        </w:rPr>
        <w:t>2020: 86 k€</w:t>
      </w:r>
    </w:p>
    <w:p w14:paraId="60C28BE2" w14:textId="24CC2A83" w:rsidR="006D76D4" w:rsidRPr="001957F0" w:rsidRDefault="00AC3A75" w:rsidP="001957F0">
      <w:pPr>
        <w:pStyle w:val="ListParagraph"/>
        <w:numPr>
          <w:ilvl w:val="0"/>
          <w:numId w:val="19"/>
        </w:numPr>
        <w:spacing w:after="120" w:line="240" w:lineRule="auto"/>
        <w:ind w:left="0" w:firstLine="0"/>
        <w:contextualSpacing w:val="0"/>
      </w:pPr>
      <w:r w:rsidRPr="001957F0">
        <w:t xml:space="preserve">The projected </w:t>
      </w:r>
      <w:r w:rsidR="00C065BF" w:rsidRPr="001957F0">
        <w:t>IHO share</w:t>
      </w:r>
      <w:r w:rsidRPr="001957F0">
        <w:t xml:space="preserve"> of 86</w:t>
      </w:r>
      <w:r w:rsidR="002B2F5B" w:rsidRPr="001957F0">
        <w:t xml:space="preserve"> </w:t>
      </w:r>
      <w:r w:rsidRPr="001957F0">
        <w:t xml:space="preserve">k€ </w:t>
      </w:r>
      <w:r w:rsidR="00C065BF" w:rsidRPr="001957F0">
        <w:t xml:space="preserve">for 2020 </w:t>
      </w:r>
      <w:r w:rsidRPr="001957F0">
        <w:t xml:space="preserve">stems from the estimate </w:t>
      </w:r>
      <w:r w:rsidR="00C065BF" w:rsidRPr="001957F0">
        <w:t xml:space="preserve">made in 2016. The Secretariat is currently working on a proposal of an updated annual budget for 2020 for submission and </w:t>
      </w:r>
      <w:r w:rsidR="00C065BF" w:rsidRPr="001957F0">
        <w:lastRenderedPageBreak/>
        <w:t xml:space="preserve">approval by the Council. </w:t>
      </w:r>
      <w:r w:rsidR="00221D0A" w:rsidRPr="001957F0">
        <w:t>I</w:t>
      </w:r>
      <w:r w:rsidR="00C065BF" w:rsidRPr="001957F0">
        <w:t xml:space="preserve">t is </w:t>
      </w:r>
      <w:r w:rsidR="008B3AF3" w:rsidRPr="001957F0">
        <w:t>hoped</w:t>
      </w:r>
      <w:r w:rsidR="00C065BF" w:rsidRPr="001957F0">
        <w:t xml:space="preserve"> that the budget figure will </w:t>
      </w:r>
      <w:r w:rsidR="00221D0A" w:rsidRPr="001957F0">
        <w:t>increase</w:t>
      </w:r>
      <w:r w:rsidR="00C065BF" w:rsidRPr="001957F0">
        <w:t xml:space="preserve">, </w:t>
      </w:r>
      <w:r w:rsidR="00221D0A" w:rsidRPr="001957F0">
        <w:t xml:space="preserve">however </w:t>
      </w:r>
      <w:r w:rsidR="00C065BF" w:rsidRPr="001957F0">
        <w:t xml:space="preserve">FCCL01/2019 </w:t>
      </w:r>
      <w:r w:rsidR="007A617E" w:rsidRPr="001957F0">
        <w:t xml:space="preserve">is </w:t>
      </w:r>
      <w:r w:rsidR="00C065BF" w:rsidRPr="001957F0">
        <w:t xml:space="preserve">clear that no additional surplus contribution to the </w:t>
      </w:r>
      <w:r w:rsidR="007A617E" w:rsidRPr="001957F0">
        <w:t xml:space="preserve">IHO </w:t>
      </w:r>
      <w:r w:rsidR="00C065BF" w:rsidRPr="001957F0">
        <w:t xml:space="preserve">CB </w:t>
      </w:r>
      <w:r w:rsidR="007A617E" w:rsidRPr="001957F0">
        <w:t xml:space="preserve">fund </w:t>
      </w:r>
      <w:r w:rsidR="00C065BF" w:rsidRPr="001957F0">
        <w:t>can be expected for</w:t>
      </w:r>
      <w:r w:rsidR="00D80E5B" w:rsidRPr="001957F0">
        <w:t xml:space="preserve"> 2019</w:t>
      </w:r>
      <w:r w:rsidR="00C065BF" w:rsidRPr="001957F0">
        <w:t xml:space="preserve">. </w:t>
      </w:r>
    </w:p>
    <w:p w14:paraId="04275D08" w14:textId="793AE1CD" w:rsidR="00D64234" w:rsidRPr="001957F0" w:rsidRDefault="00C065BF" w:rsidP="001957F0">
      <w:pPr>
        <w:pStyle w:val="ListParagraph"/>
        <w:numPr>
          <w:ilvl w:val="0"/>
          <w:numId w:val="19"/>
        </w:numPr>
        <w:spacing w:after="120" w:line="240" w:lineRule="auto"/>
        <w:ind w:left="0" w:firstLine="0"/>
        <w:contextualSpacing w:val="0"/>
      </w:pPr>
      <w:r w:rsidRPr="001957F0">
        <w:t>A</w:t>
      </w:r>
      <w:r w:rsidR="000604D2" w:rsidRPr="001957F0">
        <w:t>n IHO Capacity Building Fund share</w:t>
      </w:r>
      <w:r w:rsidR="000604D2" w:rsidRPr="001957F0" w:rsidDel="000604D2">
        <w:t xml:space="preserve"> </w:t>
      </w:r>
      <w:r w:rsidR="00637CBC" w:rsidRPr="001957F0">
        <w:t xml:space="preserve">less </w:t>
      </w:r>
      <w:r w:rsidR="000604D2" w:rsidRPr="001957F0">
        <w:t xml:space="preserve">than 200 k€ </w:t>
      </w:r>
      <w:r w:rsidR="00D64234" w:rsidRPr="001957F0">
        <w:t>put</w:t>
      </w:r>
      <w:r w:rsidR="000604D2" w:rsidRPr="001957F0">
        <w:t>s</w:t>
      </w:r>
      <w:r w:rsidR="00D64234" w:rsidRPr="001957F0">
        <w:t xml:space="preserve"> the </w:t>
      </w:r>
      <w:r w:rsidR="000604D2" w:rsidRPr="001957F0">
        <w:t xml:space="preserve">planned </w:t>
      </w:r>
      <w:r w:rsidR="00637CBC" w:rsidRPr="001957F0">
        <w:t xml:space="preserve">delivery </w:t>
      </w:r>
      <w:r w:rsidR="00D64234" w:rsidRPr="001957F0">
        <w:t xml:space="preserve">of the </w:t>
      </w:r>
      <w:r w:rsidR="000604D2" w:rsidRPr="001957F0">
        <w:t xml:space="preserve">approved </w:t>
      </w:r>
      <w:r w:rsidR="00D64234" w:rsidRPr="001957F0">
        <w:t xml:space="preserve">CB programme </w:t>
      </w:r>
      <w:r w:rsidR="00733C86" w:rsidRPr="001957F0">
        <w:t xml:space="preserve">work </w:t>
      </w:r>
      <w:r w:rsidR="00D64234" w:rsidRPr="001957F0">
        <w:t>a</w:t>
      </w:r>
      <w:r w:rsidR="00637CBC" w:rsidRPr="001957F0">
        <w:t>t</w:t>
      </w:r>
      <w:r w:rsidR="00D64234" w:rsidRPr="001957F0">
        <w:t xml:space="preserve"> considerable risk. </w:t>
      </w:r>
      <w:r w:rsidR="00CA210A" w:rsidRPr="001957F0">
        <w:t>A</w:t>
      </w:r>
      <w:r w:rsidR="004A533B" w:rsidRPr="001957F0">
        <w:t xml:space="preserve"> </w:t>
      </w:r>
      <w:r w:rsidR="000604D2" w:rsidRPr="001957F0">
        <w:t xml:space="preserve">guaranteed </w:t>
      </w:r>
      <w:r w:rsidR="0006536A" w:rsidRPr="001957F0">
        <w:t xml:space="preserve">minimum </w:t>
      </w:r>
      <w:r w:rsidR="000604D2" w:rsidRPr="001957F0">
        <w:t xml:space="preserve">level of IHO Capacity Building Fund share is </w:t>
      </w:r>
      <w:r w:rsidR="00637CBC" w:rsidRPr="001957F0">
        <w:t xml:space="preserve">a </w:t>
      </w:r>
      <w:r w:rsidR="000604D2" w:rsidRPr="001957F0">
        <w:t>p</w:t>
      </w:r>
      <w:r w:rsidR="002B2F5B" w:rsidRPr="001957F0">
        <w:t>r</w:t>
      </w:r>
      <w:r w:rsidR="000604D2" w:rsidRPr="001957F0">
        <w:t>er</w:t>
      </w:r>
      <w:r w:rsidR="002B2F5B" w:rsidRPr="001957F0">
        <w:t>e</w:t>
      </w:r>
      <w:r w:rsidR="000604D2" w:rsidRPr="001957F0">
        <w:t xml:space="preserve">quisite to cover the </w:t>
      </w:r>
      <w:r w:rsidR="005544C5" w:rsidRPr="001957F0">
        <w:t xml:space="preserve">fundamental </w:t>
      </w:r>
      <w:r w:rsidR="000604D2" w:rsidRPr="001957F0">
        <w:t xml:space="preserve">activities of the CB </w:t>
      </w:r>
      <w:r w:rsidR="00733C86" w:rsidRPr="001957F0">
        <w:t xml:space="preserve">work </w:t>
      </w:r>
      <w:r w:rsidR="000604D2" w:rsidRPr="001957F0">
        <w:t>programme</w:t>
      </w:r>
      <w:r w:rsidR="0092198D" w:rsidRPr="001957F0">
        <w:t xml:space="preserve">. This needs to be </w:t>
      </w:r>
      <w:r w:rsidR="000604D2" w:rsidRPr="001957F0">
        <w:t xml:space="preserve">addressed </w:t>
      </w:r>
      <w:r w:rsidR="0092198D" w:rsidRPr="001957F0">
        <w:t xml:space="preserve">through </w:t>
      </w:r>
      <w:r w:rsidR="000604D2" w:rsidRPr="001957F0">
        <w:t xml:space="preserve">direct funding </w:t>
      </w:r>
      <w:r w:rsidR="001B1F9F" w:rsidRPr="001957F0">
        <w:t xml:space="preserve">from the </w:t>
      </w:r>
      <w:r w:rsidR="000604D2" w:rsidRPr="001957F0">
        <w:t>IHO budget.</w:t>
      </w:r>
      <w:r w:rsidR="008B3AF3" w:rsidRPr="001957F0">
        <w:t xml:space="preserve"> This level </w:t>
      </w:r>
      <w:r w:rsidR="0077092F" w:rsidRPr="001957F0">
        <w:t xml:space="preserve">is required to meet </w:t>
      </w:r>
      <w:r w:rsidR="008B3AF3" w:rsidRPr="001957F0">
        <w:t xml:space="preserve">the aspirations </w:t>
      </w:r>
      <w:r w:rsidR="00D855D6" w:rsidRPr="001957F0">
        <w:t xml:space="preserve">as </w:t>
      </w:r>
      <w:r w:rsidR="008B3AF3" w:rsidRPr="001957F0">
        <w:t>expressed by IRCC in view of IHO’s CB engagement and as planned by CBSC on IRCC</w:t>
      </w:r>
      <w:r w:rsidR="00D80E5B" w:rsidRPr="001957F0">
        <w:t>'</w:t>
      </w:r>
      <w:r w:rsidR="00162A57" w:rsidRPr="001957F0">
        <w:t>s behalf.</w:t>
      </w:r>
    </w:p>
    <w:p w14:paraId="37107AED" w14:textId="77777777" w:rsidR="004F5A06" w:rsidRPr="001957F0" w:rsidRDefault="007514E7" w:rsidP="001957F0">
      <w:pPr>
        <w:pStyle w:val="Heading2"/>
        <w:spacing w:after="120"/>
        <w:jc w:val="both"/>
        <w:rPr>
          <w:rFonts w:ascii="Times New Roman" w:hAnsi="Times New Roman"/>
          <w:szCs w:val="22"/>
          <w:lang w:val="en-US"/>
        </w:rPr>
      </w:pPr>
      <w:r w:rsidRPr="001957F0">
        <w:rPr>
          <w:rFonts w:ascii="Times New Roman" w:hAnsi="Times New Roman"/>
          <w:szCs w:val="22"/>
          <w:lang w:val="en-US"/>
        </w:rPr>
        <w:t xml:space="preserve"> </w:t>
      </w:r>
      <w:r w:rsidR="004F5A06" w:rsidRPr="001957F0">
        <w:rPr>
          <w:rFonts w:ascii="Times New Roman" w:hAnsi="Times New Roman"/>
          <w:szCs w:val="22"/>
          <w:lang w:val="en-US"/>
        </w:rPr>
        <w:t>Conclusions</w:t>
      </w:r>
    </w:p>
    <w:p w14:paraId="15366000" w14:textId="50FD55C4" w:rsidR="000C3044" w:rsidRPr="001957F0" w:rsidRDefault="008B3AF3" w:rsidP="001957F0">
      <w:pPr>
        <w:pStyle w:val="ListParagraph"/>
        <w:numPr>
          <w:ilvl w:val="0"/>
          <w:numId w:val="19"/>
        </w:numPr>
        <w:spacing w:after="120" w:line="240" w:lineRule="auto"/>
        <w:ind w:left="0" w:firstLine="0"/>
        <w:contextualSpacing w:val="0"/>
      </w:pPr>
      <w:r w:rsidRPr="001957F0">
        <w:t>For execution of the approved CB programme, t</w:t>
      </w:r>
      <w:r w:rsidR="00A44070" w:rsidRPr="001957F0">
        <w:t>he m</w:t>
      </w:r>
      <w:r w:rsidR="000C3044" w:rsidRPr="001957F0">
        <w:t xml:space="preserve">inimum </w:t>
      </w:r>
      <w:r w:rsidRPr="001957F0">
        <w:t xml:space="preserve">amount of the IHO Capacity Building Fund share </w:t>
      </w:r>
      <w:r w:rsidR="00A44070" w:rsidRPr="001957F0">
        <w:t>can be estimated as follows:</w:t>
      </w:r>
    </w:p>
    <w:p w14:paraId="405224CD" w14:textId="77777777" w:rsidR="000C3044" w:rsidRPr="001957F0" w:rsidRDefault="000C3044" w:rsidP="001957F0">
      <w:pPr>
        <w:jc w:val="both"/>
        <w:rPr>
          <w:sz w:val="22"/>
          <w:szCs w:val="22"/>
        </w:rPr>
      </w:pPr>
      <w:r w:rsidRPr="001957F0">
        <w:rPr>
          <w:sz w:val="22"/>
          <w:szCs w:val="22"/>
        </w:rPr>
        <w:t>a) Phase 0 and Phase 1</w:t>
      </w:r>
    </w:p>
    <w:p w14:paraId="2A5A95D4" w14:textId="62F580C3" w:rsidR="000C3044" w:rsidRPr="001957F0" w:rsidRDefault="000C3044" w:rsidP="001957F0">
      <w:pPr>
        <w:jc w:val="both"/>
        <w:rPr>
          <w:sz w:val="22"/>
          <w:szCs w:val="22"/>
        </w:rPr>
      </w:pPr>
      <w:r w:rsidRPr="001957F0">
        <w:rPr>
          <w:sz w:val="22"/>
          <w:szCs w:val="22"/>
        </w:rPr>
        <w:t xml:space="preserve">To ensure </w:t>
      </w:r>
      <w:r w:rsidR="008B3AF3" w:rsidRPr="001957F0">
        <w:rPr>
          <w:sz w:val="22"/>
          <w:szCs w:val="22"/>
        </w:rPr>
        <w:t xml:space="preserve">a basic </w:t>
      </w:r>
      <w:r w:rsidRPr="001957F0">
        <w:rPr>
          <w:sz w:val="22"/>
          <w:szCs w:val="22"/>
        </w:rPr>
        <w:t xml:space="preserve">provision of CB </w:t>
      </w:r>
      <w:r w:rsidR="002B2F5B" w:rsidRPr="001957F0">
        <w:rPr>
          <w:sz w:val="22"/>
          <w:szCs w:val="22"/>
        </w:rPr>
        <w:t>a</w:t>
      </w:r>
      <w:r w:rsidRPr="001957F0">
        <w:rPr>
          <w:sz w:val="22"/>
          <w:szCs w:val="22"/>
        </w:rPr>
        <w:t xml:space="preserve">ssessment </w:t>
      </w:r>
      <w:r w:rsidR="00733C86" w:rsidRPr="001957F0">
        <w:rPr>
          <w:sz w:val="22"/>
          <w:szCs w:val="22"/>
        </w:rPr>
        <w:t xml:space="preserve">of </w:t>
      </w:r>
      <w:r w:rsidR="008E5BE6" w:rsidRPr="001957F0">
        <w:rPr>
          <w:sz w:val="22"/>
          <w:szCs w:val="22"/>
        </w:rPr>
        <w:t>need</w:t>
      </w:r>
      <w:r w:rsidR="00733C86" w:rsidRPr="001957F0">
        <w:rPr>
          <w:sz w:val="22"/>
          <w:szCs w:val="22"/>
        </w:rPr>
        <w:t>s</w:t>
      </w:r>
      <w:r w:rsidR="00C82A2B" w:rsidRPr="001957F0">
        <w:rPr>
          <w:sz w:val="22"/>
          <w:szCs w:val="22"/>
        </w:rPr>
        <w:t>, obligations and</w:t>
      </w:r>
      <w:r w:rsidR="008E5BE6" w:rsidRPr="001957F0">
        <w:rPr>
          <w:sz w:val="22"/>
          <w:szCs w:val="22"/>
        </w:rPr>
        <w:t xml:space="preserve"> for p</w:t>
      </w:r>
      <w:r w:rsidRPr="001957F0">
        <w:rPr>
          <w:sz w:val="22"/>
          <w:szCs w:val="22"/>
        </w:rPr>
        <w:t xml:space="preserve">rovision of MSI, the following minimum </w:t>
      </w:r>
      <w:r w:rsidR="008B3AF3" w:rsidRPr="001957F0">
        <w:rPr>
          <w:sz w:val="22"/>
          <w:szCs w:val="22"/>
        </w:rPr>
        <w:t>resources</w:t>
      </w:r>
      <w:r w:rsidRPr="001957F0">
        <w:rPr>
          <w:sz w:val="22"/>
          <w:szCs w:val="22"/>
        </w:rPr>
        <w:t xml:space="preserve"> are estimated by the CBSC:</w:t>
      </w:r>
    </w:p>
    <w:p w14:paraId="7032B92F" w14:textId="74886EB4" w:rsidR="000C3044" w:rsidRPr="001957F0" w:rsidRDefault="000C3044" w:rsidP="001957F0">
      <w:pPr>
        <w:pStyle w:val="ListParagraph"/>
        <w:numPr>
          <w:ilvl w:val="0"/>
          <w:numId w:val="17"/>
        </w:numPr>
        <w:rPr>
          <w:lang w:val="en-US"/>
        </w:rPr>
      </w:pPr>
      <w:r w:rsidRPr="001957F0">
        <w:rPr>
          <w:lang w:val="en-US"/>
        </w:rPr>
        <w:t xml:space="preserve">In kind contribution of training facilities and/or trainers by </w:t>
      </w:r>
      <w:r w:rsidR="006720E0" w:rsidRPr="001957F0">
        <w:rPr>
          <w:lang w:val="en-US"/>
        </w:rPr>
        <w:t>Member State</w:t>
      </w:r>
      <w:r w:rsidR="00782884" w:rsidRPr="001957F0">
        <w:rPr>
          <w:lang w:val="en-US"/>
        </w:rPr>
        <w:t>s</w:t>
      </w:r>
      <w:r w:rsidR="005C1E7F">
        <w:rPr>
          <w:lang w:val="en-US"/>
        </w:rPr>
        <w:t>.</w:t>
      </w:r>
    </w:p>
    <w:p w14:paraId="64F731BD" w14:textId="390E4C0D" w:rsidR="000C3044" w:rsidRPr="001957F0" w:rsidRDefault="000C3044" w:rsidP="001957F0">
      <w:pPr>
        <w:pStyle w:val="ListParagraph"/>
        <w:numPr>
          <w:ilvl w:val="0"/>
          <w:numId w:val="17"/>
        </w:numPr>
        <w:rPr>
          <w:lang w:val="en-US"/>
        </w:rPr>
      </w:pPr>
      <w:r w:rsidRPr="001957F0">
        <w:rPr>
          <w:lang w:val="en-US"/>
        </w:rPr>
        <w:t>In kind contribution of experts for High Level and Technical Visits</w:t>
      </w:r>
      <w:r w:rsidR="005C1E7F">
        <w:rPr>
          <w:lang w:val="en-US"/>
        </w:rPr>
        <w:t>.</w:t>
      </w:r>
    </w:p>
    <w:p w14:paraId="7A3C0EA0" w14:textId="7F59AC73" w:rsidR="000C3044" w:rsidRPr="001957F0" w:rsidRDefault="000C3044" w:rsidP="001957F0">
      <w:pPr>
        <w:pStyle w:val="ListParagraph"/>
        <w:numPr>
          <w:ilvl w:val="0"/>
          <w:numId w:val="17"/>
        </w:numPr>
        <w:rPr>
          <w:lang w:val="en-US"/>
        </w:rPr>
      </w:pPr>
      <w:r w:rsidRPr="001957F0">
        <w:rPr>
          <w:lang w:val="en-US"/>
        </w:rPr>
        <w:t xml:space="preserve">Funds per year of approximately 200 k€ </w:t>
      </w:r>
      <w:r w:rsidR="00D80E5B" w:rsidRPr="001957F0">
        <w:rPr>
          <w:lang w:val="en-US"/>
        </w:rPr>
        <w:t>to cover expenses with Technical and High-Level Visits, with awareness raising seminars</w:t>
      </w:r>
      <w:r w:rsidR="005C2FB6" w:rsidRPr="001957F0">
        <w:rPr>
          <w:lang w:val="en-US"/>
        </w:rPr>
        <w:t>/workshops</w:t>
      </w:r>
      <w:r w:rsidR="00D80E5B" w:rsidRPr="001957F0">
        <w:rPr>
          <w:lang w:val="en-US"/>
        </w:rPr>
        <w:t xml:space="preserve"> and MSI training courses, </w:t>
      </w:r>
      <w:r w:rsidR="00DD1C37" w:rsidRPr="001957F0">
        <w:rPr>
          <w:lang w:val="en-US"/>
        </w:rPr>
        <w:t xml:space="preserve">in addition to </w:t>
      </w:r>
      <w:r w:rsidR="00D80E5B" w:rsidRPr="001957F0">
        <w:rPr>
          <w:lang w:val="en-US"/>
        </w:rPr>
        <w:t>the in-kind contributions.</w:t>
      </w:r>
    </w:p>
    <w:p w14:paraId="6D0A10B3" w14:textId="4C67C656" w:rsidR="000C3044" w:rsidRPr="001957F0" w:rsidRDefault="000C3044" w:rsidP="001957F0">
      <w:pPr>
        <w:jc w:val="both"/>
        <w:rPr>
          <w:sz w:val="22"/>
          <w:szCs w:val="22"/>
        </w:rPr>
      </w:pPr>
      <w:r w:rsidRPr="001957F0">
        <w:rPr>
          <w:sz w:val="22"/>
          <w:szCs w:val="22"/>
        </w:rPr>
        <w:t>b) Phase 2 and 3 for most needy countries</w:t>
      </w:r>
    </w:p>
    <w:p w14:paraId="362F978B" w14:textId="2E39C265" w:rsidR="000C3044" w:rsidRPr="001957F0" w:rsidRDefault="000C3044" w:rsidP="001957F0">
      <w:pPr>
        <w:jc w:val="both"/>
        <w:rPr>
          <w:sz w:val="22"/>
          <w:szCs w:val="22"/>
        </w:rPr>
      </w:pPr>
      <w:r w:rsidRPr="001957F0">
        <w:rPr>
          <w:sz w:val="22"/>
          <w:szCs w:val="22"/>
        </w:rPr>
        <w:t xml:space="preserve">To ensure the CB </w:t>
      </w:r>
      <w:r w:rsidR="008E5BE6" w:rsidRPr="001957F0">
        <w:rPr>
          <w:sz w:val="22"/>
          <w:szCs w:val="22"/>
        </w:rPr>
        <w:t>p</w:t>
      </w:r>
      <w:r w:rsidRPr="001957F0">
        <w:rPr>
          <w:sz w:val="22"/>
          <w:szCs w:val="22"/>
        </w:rPr>
        <w:t>rovision for surveying, data management and nautical products, it is estimated to need:</w:t>
      </w:r>
    </w:p>
    <w:p w14:paraId="5AD5745B" w14:textId="533DC5FC" w:rsidR="000C3044" w:rsidRPr="001957F0" w:rsidRDefault="000C3044" w:rsidP="001957F0">
      <w:pPr>
        <w:pStyle w:val="ListParagraph"/>
        <w:numPr>
          <w:ilvl w:val="0"/>
          <w:numId w:val="17"/>
        </w:numPr>
        <w:rPr>
          <w:lang w:val="en-US"/>
        </w:rPr>
      </w:pPr>
      <w:r w:rsidRPr="001957F0">
        <w:rPr>
          <w:lang w:val="en-US"/>
        </w:rPr>
        <w:t xml:space="preserve">In kind contribution of training facilities, training material and/or trainers by </w:t>
      </w:r>
      <w:r w:rsidR="006720E0" w:rsidRPr="001957F0">
        <w:rPr>
          <w:lang w:val="en-US"/>
        </w:rPr>
        <w:t>Member State</w:t>
      </w:r>
      <w:r w:rsidRPr="001957F0">
        <w:rPr>
          <w:lang w:val="en-US"/>
        </w:rPr>
        <w:t xml:space="preserve"> and/or industry</w:t>
      </w:r>
      <w:r w:rsidR="005C1E7F">
        <w:rPr>
          <w:lang w:val="en-US"/>
        </w:rPr>
        <w:t>.</w:t>
      </w:r>
    </w:p>
    <w:p w14:paraId="56080E03" w14:textId="03E14146" w:rsidR="000C3044" w:rsidRPr="001957F0" w:rsidRDefault="000C3044" w:rsidP="001957F0">
      <w:pPr>
        <w:pStyle w:val="ListParagraph"/>
        <w:numPr>
          <w:ilvl w:val="0"/>
          <w:numId w:val="17"/>
        </w:numPr>
        <w:rPr>
          <w:lang w:val="en-US"/>
        </w:rPr>
      </w:pPr>
      <w:r w:rsidRPr="001957F0">
        <w:rPr>
          <w:lang w:val="en-US"/>
        </w:rPr>
        <w:t>Funds per year of approximately another 200 k€</w:t>
      </w:r>
      <w:r w:rsidR="008E5BE6" w:rsidRPr="001957F0">
        <w:rPr>
          <w:lang w:val="en-US"/>
        </w:rPr>
        <w:t xml:space="preserve"> (</w:t>
      </w:r>
      <w:r w:rsidRPr="001957F0">
        <w:rPr>
          <w:lang w:val="en-US"/>
        </w:rPr>
        <w:t xml:space="preserve">With </w:t>
      </w:r>
      <w:r w:rsidR="0048189D" w:rsidRPr="001957F0">
        <w:rPr>
          <w:lang w:val="en-US"/>
        </w:rPr>
        <w:t>i</w:t>
      </w:r>
      <w:r w:rsidR="008E5BE6" w:rsidRPr="001957F0">
        <w:rPr>
          <w:lang w:val="en-US"/>
        </w:rPr>
        <w:t>n</w:t>
      </w:r>
      <w:r w:rsidR="0048189D" w:rsidRPr="001957F0">
        <w:rPr>
          <w:lang w:val="en-US"/>
        </w:rPr>
        <w:t xml:space="preserve"> kind</w:t>
      </w:r>
      <w:r w:rsidR="008E5BE6" w:rsidRPr="001957F0">
        <w:rPr>
          <w:lang w:val="en-US"/>
        </w:rPr>
        <w:t xml:space="preserve"> </w:t>
      </w:r>
      <w:r w:rsidRPr="001957F0">
        <w:rPr>
          <w:lang w:val="en-US"/>
        </w:rPr>
        <w:t>support of training material</w:t>
      </w:r>
      <w:r w:rsidR="008E5BE6" w:rsidRPr="001957F0">
        <w:rPr>
          <w:lang w:val="en-US"/>
        </w:rPr>
        <w:t>s</w:t>
      </w:r>
      <w:r w:rsidRPr="001957F0">
        <w:rPr>
          <w:lang w:val="en-US"/>
        </w:rPr>
        <w:t xml:space="preserve">, Training for </w:t>
      </w:r>
      <w:r w:rsidR="008E5BE6" w:rsidRPr="001957F0">
        <w:rPr>
          <w:lang w:val="en-US"/>
        </w:rPr>
        <w:t>t</w:t>
      </w:r>
      <w:r w:rsidRPr="001957F0">
        <w:rPr>
          <w:lang w:val="en-US"/>
        </w:rPr>
        <w:t>rainers</w:t>
      </w:r>
      <w:r w:rsidR="00733C86" w:rsidRPr="001957F0">
        <w:rPr>
          <w:lang w:val="en-US"/>
        </w:rPr>
        <w:t xml:space="preserve"> courses</w:t>
      </w:r>
      <w:r w:rsidRPr="001957F0">
        <w:rPr>
          <w:lang w:val="en-US"/>
        </w:rPr>
        <w:t xml:space="preserve"> and e-learning material</w:t>
      </w:r>
      <w:r w:rsidR="008E5BE6" w:rsidRPr="001957F0">
        <w:rPr>
          <w:lang w:val="en-US"/>
        </w:rPr>
        <w:t>s</w:t>
      </w:r>
      <w:r w:rsidRPr="001957F0">
        <w:rPr>
          <w:lang w:val="en-US"/>
        </w:rPr>
        <w:t xml:space="preserve"> this can be reduced to 100 k€</w:t>
      </w:r>
      <w:r w:rsidR="008E5BE6" w:rsidRPr="001957F0">
        <w:rPr>
          <w:lang w:val="en-US"/>
        </w:rPr>
        <w:t>)</w:t>
      </w:r>
      <w:r w:rsidR="005C1E7F">
        <w:rPr>
          <w:lang w:val="en-US"/>
        </w:rPr>
        <w:t>.</w:t>
      </w:r>
    </w:p>
    <w:p w14:paraId="0E0E6182" w14:textId="77777777" w:rsidR="000C3044" w:rsidRPr="001957F0" w:rsidRDefault="000C3044" w:rsidP="001957F0">
      <w:pPr>
        <w:jc w:val="both"/>
        <w:rPr>
          <w:sz w:val="22"/>
          <w:szCs w:val="22"/>
        </w:rPr>
      </w:pPr>
      <w:r w:rsidRPr="001957F0">
        <w:rPr>
          <w:sz w:val="22"/>
          <w:szCs w:val="22"/>
        </w:rPr>
        <w:t>c) Funds for consulting, investments in comprehensive projects</w:t>
      </w:r>
    </w:p>
    <w:p w14:paraId="4D3F2665" w14:textId="17A0DF91" w:rsidR="004F5A06" w:rsidRDefault="000C3044" w:rsidP="008A6239">
      <w:pPr>
        <w:spacing w:after="120"/>
        <w:jc w:val="both"/>
        <w:rPr>
          <w:sz w:val="22"/>
          <w:szCs w:val="22"/>
        </w:rPr>
      </w:pPr>
      <w:r w:rsidRPr="001957F0">
        <w:rPr>
          <w:sz w:val="22"/>
          <w:szCs w:val="22"/>
        </w:rPr>
        <w:t xml:space="preserve">To provide the basic capability to attract other organizations to provide funds for comprehensive projects it is either necessary to have funds for consultants or to have a commitment from </w:t>
      </w:r>
      <w:r w:rsidR="006720E0" w:rsidRPr="001957F0">
        <w:rPr>
          <w:sz w:val="22"/>
          <w:szCs w:val="22"/>
        </w:rPr>
        <w:t>Member State</w:t>
      </w:r>
      <w:r w:rsidR="009172C0" w:rsidRPr="001957F0">
        <w:rPr>
          <w:sz w:val="22"/>
          <w:szCs w:val="22"/>
        </w:rPr>
        <w:t>s</w:t>
      </w:r>
      <w:r w:rsidRPr="001957F0">
        <w:rPr>
          <w:sz w:val="22"/>
          <w:szCs w:val="22"/>
        </w:rPr>
        <w:t xml:space="preserve"> </w:t>
      </w:r>
      <w:r w:rsidR="008E5BE6" w:rsidRPr="001957F0">
        <w:rPr>
          <w:sz w:val="22"/>
          <w:szCs w:val="22"/>
        </w:rPr>
        <w:t>to provide</w:t>
      </w:r>
      <w:r w:rsidRPr="001957F0">
        <w:rPr>
          <w:sz w:val="22"/>
          <w:szCs w:val="22"/>
        </w:rPr>
        <w:t xml:space="preserve"> </w:t>
      </w:r>
      <w:r w:rsidR="008E5BE6" w:rsidRPr="001957F0">
        <w:rPr>
          <w:sz w:val="22"/>
          <w:szCs w:val="22"/>
        </w:rPr>
        <w:t xml:space="preserve">resources </w:t>
      </w:r>
      <w:r w:rsidRPr="001957F0">
        <w:rPr>
          <w:sz w:val="22"/>
          <w:szCs w:val="22"/>
        </w:rPr>
        <w:t xml:space="preserve">within their government to develop appropriate submissions to national, regional or international </w:t>
      </w:r>
      <w:r w:rsidR="00A352EC" w:rsidRPr="001957F0">
        <w:rPr>
          <w:sz w:val="22"/>
          <w:szCs w:val="22"/>
        </w:rPr>
        <w:t xml:space="preserve">donor </w:t>
      </w:r>
      <w:r w:rsidRPr="001957F0">
        <w:rPr>
          <w:sz w:val="22"/>
          <w:szCs w:val="22"/>
        </w:rPr>
        <w:t xml:space="preserve">funding programmes. </w:t>
      </w:r>
      <w:r w:rsidR="006720E0" w:rsidRPr="001957F0">
        <w:rPr>
          <w:sz w:val="22"/>
          <w:szCs w:val="22"/>
        </w:rPr>
        <w:t>Member State</w:t>
      </w:r>
      <w:r w:rsidR="009172C0" w:rsidRPr="001957F0">
        <w:rPr>
          <w:sz w:val="22"/>
          <w:szCs w:val="22"/>
        </w:rPr>
        <w:t>s</w:t>
      </w:r>
      <w:r w:rsidRPr="001957F0">
        <w:rPr>
          <w:sz w:val="22"/>
          <w:szCs w:val="22"/>
        </w:rPr>
        <w:t xml:space="preserve"> </w:t>
      </w:r>
      <w:r w:rsidR="00A352EC" w:rsidRPr="001957F0">
        <w:rPr>
          <w:sz w:val="22"/>
          <w:szCs w:val="22"/>
        </w:rPr>
        <w:t xml:space="preserve">may </w:t>
      </w:r>
      <w:r w:rsidRPr="001957F0">
        <w:rPr>
          <w:sz w:val="22"/>
          <w:szCs w:val="22"/>
        </w:rPr>
        <w:t xml:space="preserve">take the lead using their national </w:t>
      </w:r>
      <w:r w:rsidR="008E5BE6" w:rsidRPr="001957F0">
        <w:rPr>
          <w:sz w:val="22"/>
          <w:szCs w:val="22"/>
        </w:rPr>
        <w:t xml:space="preserve">expertise, resources </w:t>
      </w:r>
      <w:r w:rsidRPr="001957F0">
        <w:rPr>
          <w:sz w:val="22"/>
          <w:szCs w:val="22"/>
        </w:rPr>
        <w:t xml:space="preserve">and knowledge to develop such projects and get other </w:t>
      </w:r>
      <w:r w:rsidR="006720E0" w:rsidRPr="001957F0">
        <w:rPr>
          <w:sz w:val="22"/>
          <w:szCs w:val="22"/>
        </w:rPr>
        <w:t>Member State</w:t>
      </w:r>
      <w:r w:rsidR="009172C0" w:rsidRPr="001957F0">
        <w:rPr>
          <w:sz w:val="22"/>
          <w:szCs w:val="22"/>
        </w:rPr>
        <w:t>s</w:t>
      </w:r>
      <w:r w:rsidRPr="001957F0">
        <w:rPr>
          <w:sz w:val="22"/>
          <w:szCs w:val="22"/>
        </w:rPr>
        <w:t xml:space="preserve"> involved via RHC.</w:t>
      </w:r>
      <w:r w:rsidR="008E5BE6" w:rsidRPr="001957F0">
        <w:rPr>
          <w:sz w:val="22"/>
          <w:szCs w:val="22"/>
        </w:rPr>
        <w:t xml:space="preserve"> </w:t>
      </w:r>
      <w:r w:rsidR="00DF7676" w:rsidRPr="001957F0">
        <w:rPr>
          <w:sz w:val="22"/>
          <w:szCs w:val="22"/>
        </w:rPr>
        <w:t xml:space="preserve">With a sufficient commitment from Member States </w:t>
      </w:r>
      <w:r w:rsidR="00DF7676" w:rsidRPr="001957F0">
        <w:rPr>
          <w:rStyle w:val="CommentReference"/>
          <w:rFonts w:asciiTheme="minorHAnsi" w:eastAsiaTheme="minorEastAsia" w:hAnsiTheme="minorHAnsi" w:cstheme="minorBidi"/>
        </w:rPr>
        <w:t>i</w:t>
      </w:r>
      <w:r w:rsidR="008E5BE6" w:rsidRPr="001957F0">
        <w:rPr>
          <w:sz w:val="22"/>
          <w:szCs w:val="22"/>
        </w:rPr>
        <w:t xml:space="preserve">t is expected that this item </w:t>
      </w:r>
      <w:r w:rsidR="00DF7676" w:rsidRPr="001957F0">
        <w:rPr>
          <w:sz w:val="22"/>
          <w:szCs w:val="22"/>
        </w:rPr>
        <w:t>has no impact on the CB fund.</w:t>
      </w:r>
    </w:p>
    <w:p w14:paraId="11AD7367" w14:textId="5359A8AD" w:rsidR="008A6239" w:rsidRPr="001957F0" w:rsidRDefault="008A6239" w:rsidP="008A6239">
      <w:pPr>
        <w:pStyle w:val="ListParagraph"/>
        <w:numPr>
          <w:ilvl w:val="0"/>
          <w:numId w:val="19"/>
        </w:numPr>
        <w:spacing w:after="120" w:line="240" w:lineRule="auto"/>
        <w:ind w:left="0" w:firstLine="0"/>
        <w:contextualSpacing w:val="0"/>
        <w:rPr>
          <w:lang w:val="en-US"/>
        </w:rPr>
      </w:pPr>
      <w:r>
        <w:rPr>
          <w:lang w:val="en-US"/>
        </w:rPr>
        <w:t>The Appendix to this Annex presents statistics from 2016 to 2018 on the execution of the annual CB Work Programmes (CBWP), that illustrates the outreach of the programme during this period.</w:t>
      </w:r>
    </w:p>
    <w:p w14:paraId="0AB0D8FF" w14:textId="77777777" w:rsidR="004F5A06" w:rsidRPr="001957F0" w:rsidRDefault="004F5A06" w:rsidP="001957F0">
      <w:pPr>
        <w:pStyle w:val="Heading2"/>
        <w:spacing w:after="120"/>
        <w:jc w:val="both"/>
        <w:rPr>
          <w:rFonts w:ascii="Times New Roman" w:hAnsi="Times New Roman"/>
          <w:szCs w:val="22"/>
          <w:lang w:val="en-US"/>
        </w:rPr>
      </w:pPr>
      <w:r w:rsidRPr="001957F0">
        <w:rPr>
          <w:rFonts w:ascii="Times New Roman" w:hAnsi="Times New Roman"/>
          <w:szCs w:val="22"/>
          <w:lang w:val="en-US"/>
        </w:rPr>
        <w:t>Recommendations</w:t>
      </w:r>
    </w:p>
    <w:p w14:paraId="3D815C1E" w14:textId="3DC69E76" w:rsidR="00A10CBF" w:rsidRPr="001957F0" w:rsidRDefault="00A10CBF" w:rsidP="001957F0">
      <w:pPr>
        <w:pStyle w:val="ListParagraph"/>
        <w:numPr>
          <w:ilvl w:val="0"/>
          <w:numId w:val="19"/>
        </w:numPr>
        <w:spacing w:after="120" w:line="240" w:lineRule="auto"/>
        <w:ind w:left="0" w:firstLine="0"/>
        <w:contextualSpacing w:val="0"/>
      </w:pPr>
      <w:r w:rsidRPr="001957F0">
        <w:t xml:space="preserve">In conclusion of the above considerations it is recommended that the </w:t>
      </w:r>
      <w:r w:rsidR="005C1E7F">
        <w:t>Council endorses the</w:t>
      </w:r>
      <w:r w:rsidRPr="001957F0">
        <w:t xml:space="preserve"> amount of 300 k€ as guaranteed </w:t>
      </w:r>
      <w:r w:rsidR="00AA77E6" w:rsidRPr="001957F0">
        <w:t>mini</w:t>
      </w:r>
      <w:r w:rsidR="00047DB1" w:rsidRPr="001957F0">
        <w:t>m</w:t>
      </w:r>
      <w:r w:rsidR="00AA77E6" w:rsidRPr="001957F0">
        <w:t xml:space="preserve">um </w:t>
      </w:r>
      <w:r w:rsidRPr="001957F0">
        <w:t>level of IHO Capacity Building Fund share to be incorporated into the annual budget of 2020 and the three-years-budget proposal 2021 – 2023</w:t>
      </w:r>
      <w:r w:rsidR="005C1E7F">
        <w:t xml:space="preserve"> and submit it</w:t>
      </w:r>
      <w:r w:rsidRPr="001957F0">
        <w:t xml:space="preserve"> for Assembly approval</w:t>
      </w:r>
      <w:r w:rsidR="000C3044" w:rsidRPr="001957F0">
        <w:t xml:space="preserve">. </w:t>
      </w:r>
    </w:p>
    <w:p w14:paraId="5068BDF2" w14:textId="07B9DB27" w:rsidR="005B7818" w:rsidRDefault="000C3044" w:rsidP="001957F0">
      <w:pPr>
        <w:pStyle w:val="ListParagraph"/>
        <w:numPr>
          <w:ilvl w:val="0"/>
          <w:numId w:val="19"/>
        </w:numPr>
        <w:spacing w:after="120" w:line="240" w:lineRule="auto"/>
        <w:ind w:left="0" w:firstLine="0"/>
        <w:contextualSpacing w:val="0"/>
      </w:pPr>
      <w:r w:rsidRPr="001957F0">
        <w:t xml:space="preserve">The </w:t>
      </w:r>
      <w:r w:rsidR="00A10CBF" w:rsidRPr="001957F0">
        <w:t xml:space="preserve">proposed provisions </w:t>
      </w:r>
      <w:r w:rsidRPr="001957F0">
        <w:t>for b) and c) will not only enable</w:t>
      </w:r>
      <w:r w:rsidR="00FA00EB" w:rsidRPr="001957F0">
        <w:t xml:space="preserve"> the </w:t>
      </w:r>
      <w:r w:rsidR="00AA77E6" w:rsidRPr="001957F0">
        <w:t xml:space="preserve">delivery </w:t>
      </w:r>
      <w:r w:rsidR="00FA00EB" w:rsidRPr="001957F0">
        <w:t>of the approved</w:t>
      </w:r>
      <w:r w:rsidRPr="001957F0">
        <w:t xml:space="preserve"> CB</w:t>
      </w:r>
      <w:r w:rsidR="00FA00EB" w:rsidRPr="001957F0">
        <w:t xml:space="preserve"> </w:t>
      </w:r>
      <w:r w:rsidR="00782884" w:rsidRPr="001957F0">
        <w:t>S</w:t>
      </w:r>
      <w:r w:rsidR="00864611" w:rsidRPr="001957F0">
        <w:t xml:space="preserve">trategy and CB </w:t>
      </w:r>
      <w:r w:rsidR="00782884" w:rsidRPr="001957F0">
        <w:t>P</w:t>
      </w:r>
      <w:r w:rsidR="00FA00EB" w:rsidRPr="001957F0">
        <w:t>rogramme</w:t>
      </w:r>
      <w:r w:rsidRPr="001957F0">
        <w:t xml:space="preserve">, but </w:t>
      </w:r>
      <w:r w:rsidR="00A10CBF" w:rsidRPr="001957F0">
        <w:t xml:space="preserve">shall </w:t>
      </w:r>
      <w:r w:rsidRPr="001957F0">
        <w:t>also</w:t>
      </w:r>
      <w:r w:rsidR="006E5BCA" w:rsidRPr="001957F0">
        <w:t xml:space="preserve"> be</w:t>
      </w:r>
      <w:r w:rsidRPr="001957F0">
        <w:t xml:space="preserve"> </w:t>
      </w:r>
      <w:r w:rsidR="00FA00EB" w:rsidRPr="001957F0">
        <w:t xml:space="preserve">regarded </w:t>
      </w:r>
      <w:r w:rsidR="00782884" w:rsidRPr="001957F0">
        <w:t>as an incentive</w:t>
      </w:r>
      <w:r w:rsidRPr="001957F0">
        <w:t xml:space="preserve"> </w:t>
      </w:r>
      <w:r w:rsidR="005B7818" w:rsidRPr="001957F0">
        <w:t xml:space="preserve">to attract </w:t>
      </w:r>
      <w:r w:rsidR="00FA00EB" w:rsidRPr="001957F0">
        <w:t xml:space="preserve">potential </w:t>
      </w:r>
      <w:r w:rsidR="005B7818" w:rsidRPr="001957F0">
        <w:t>new IHO M</w:t>
      </w:r>
      <w:r w:rsidR="00FA00EB" w:rsidRPr="001957F0">
        <w:t>ember States</w:t>
      </w:r>
      <w:r w:rsidR="005B7818" w:rsidRPr="001957F0">
        <w:t xml:space="preserve"> as this </w:t>
      </w:r>
      <w:r w:rsidR="00782884" w:rsidRPr="001957F0">
        <w:t xml:space="preserve">activity </w:t>
      </w:r>
      <w:r w:rsidR="005B7818" w:rsidRPr="001957F0">
        <w:t xml:space="preserve">is limited to </w:t>
      </w:r>
      <w:r w:rsidR="00FA00EB" w:rsidRPr="001957F0">
        <w:t xml:space="preserve">IHO </w:t>
      </w:r>
      <w:r w:rsidR="00AA77E6" w:rsidRPr="001957F0">
        <w:t>Member States only</w:t>
      </w:r>
      <w:r w:rsidR="005B7818" w:rsidRPr="001957F0">
        <w:t xml:space="preserve">. </w:t>
      </w:r>
      <w:bookmarkStart w:id="0" w:name="_GoBack"/>
      <w:bookmarkEnd w:id="0"/>
    </w:p>
    <w:p w14:paraId="3EF22D56" w14:textId="39094520" w:rsidR="004F5A06" w:rsidRPr="005C1E7F" w:rsidRDefault="004F5A06" w:rsidP="005C1E7F">
      <w:pPr>
        <w:pStyle w:val="Heading2"/>
        <w:spacing w:after="120"/>
        <w:jc w:val="both"/>
        <w:rPr>
          <w:rFonts w:ascii="Times New Roman" w:hAnsi="Times New Roman"/>
          <w:szCs w:val="22"/>
          <w:lang w:val="en-US"/>
        </w:rPr>
      </w:pPr>
      <w:r w:rsidRPr="005C1E7F">
        <w:rPr>
          <w:rFonts w:ascii="Times New Roman" w:hAnsi="Times New Roman"/>
          <w:szCs w:val="22"/>
          <w:lang w:val="en-US"/>
        </w:rPr>
        <w:lastRenderedPageBreak/>
        <w:t>Justification and Impacts</w:t>
      </w:r>
    </w:p>
    <w:p w14:paraId="6BC220B8" w14:textId="0045F332" w:rsidR="004F5A06" w:rsidRPr="001957F0" w:rsidRDefault="00A44070" w:rsidP="001957F0">
      <w:pPr>
        <w:pStyle w:val="ListParagraph"/>
        <w:numPr>
          <w:ilvl w:val="0"/>
          <w:numId w:val="19"/>
        </w:numPr>
        <w:spacing w:after="120" w:line="240" w:lineRule="auto"/>
        <w:ind w:left="0" w:firstLine="0"/>
        <w:contextualSpacing w:val="0"/>
      </w:pPr>
      <w:r w:rsidRPr="001957F0">
        <w:t xml:space="preserve">Securing a </w:t>
      </w:r>
      <w:r w:rsidR="00A10CBF" w:rsidRPr="001957F0">
        <w:t xml:space="preserve">guaranteed </w:t>
      </w:r>
      <w:r w:rsidR="003A791E" w:rsidRPr="001957F0">
        <w:t xml:space="preserve">minimum </w:t>
      </w:r>
      <w:r w:rsidR="00A10CBF" w:rsidRPr="001957F0">
        <w:t>level of IHO Capacity Building Fund share</w:t>
      </w:r>
      <w:r w:rsidR="00A10CBF" w:rsidRPr="001957F0" w:rsidDel="00A10CBF">
        <w:t xml:space="preserve"> </w:t>
      </w:r>
      <w:r w:rsidRPr="001957F0">
        <w:t xml:space="preserve">is necessary to fulfil the CB Programme according to </w:t>
      </w:r>
      <w:r w:rsidR="00864611" w:rsidRPr="001957F0">
        <w:t>IHO´s Capacity Building Strategy</w:t>
      </w:r>
      <w:r w:rsidRPr="001957F0">
        <w:t xml:space="preserve">, which is a core part of the overall IHO Strategy and </w:t>
      </w:r>
      <w:r w:rsidR="003A791E" w:rsidRPr="001957F0">
        <w:t xml:space="preserve">a </w:t>
      </w:r>
      <w:r w:rsidRPr="001957F0">
        <w:t xml:space="preserve">major </w:t>
      </w:r>
      <w:r w:rsidR="003A791E" w:rsidRPr="001957F0">
        <w:t xml:space="preserve">incentive </w:t>
      </w:r>
      <w:r w:rsidRPr="001957F0">
        <w:t>for new M</w:t>
      </w:r>
      <w:r w:rsidR="00A10CBF" w:rsidRPr="001957F0">
        <w:t>ember States</w:t>
      </w:r>
      <w:r w:rsidRPr="001957F0">
        <w:t xml:space="preserve"> to join the IHO. </w:t>
      </w:r>
    </w:p>
    <w:p w14:paraId="116E22F1" w14:textId="168F7A97" w:rsidR="004F5A06" w:rsidRPr="001957F0" w:rsidRDefault="00A44070" w:rsidP="001957F0">
      <w:pPr>
        <w:pStyle w:val="ListParagraph"/>
        <w:numPr>
          <w:ilvl w:val="0"/>
          <w:numId w:val="19"/>
        </w:numPr>
        <w:spacing w:after="120" w:line="240" w:lineRule="auto"/>
        <w:ind w:left="0" w:firstLine="0"/>
        <w:contextualSpacing w:val="0"/>
      </w:pPr>
      <w:r w:rsidRPr="001957F0">
        <w:t xml:space="preserve">This proposal has an impact on the IHO </w:t>
      </w:r>
      <w:r w:rsidR="00A10CBF" w:rsidRPr="001957F0">
        <w:t xml:space="preserve">annual </w:t>
      </w:r>
      <w:r w:rsidRPr="001957F0">
        <w:t>budget</w:t>
      </w:r>
      <w:r w:rsidR="00A10CBF" w:rsidRPr="001957F0">
        <w:t xml:space="preserve"> and three years budget</w:t>
      </w:r>
      <w:r w:rsidRPr="001957F0">
        <w:t>. It is assumed to have a high priority.</w:t>
      </w:r>
    </w:p>
    <w:p w14:paraId="15DB8ECE" w14:textId="3A078F96" w:rsidR="004F5A06" w:rsidRPr="001957F0" w:rsidRDefault="00795CA7" w:rsidP="001957F0">
      <w:pPr>
        <w:pStyle w:val="Heading2"/>
        <w:spacing w:after="120"/>
        <w:jc w:val="both"/>
        <w:rPr>
          <w:rFonts w:ascii="Times New Roman" w:hAnsi="Times New Roman"/>
          <w:szCs w:val="22"/>
          <w:lang w:val="en-US"/>
        </w:rPr>
      </w:pPr>
      <w:r w:rsidRPr="001957F0">
        <w:rPr>
          <w:rFonts w:ascii="Times New Roman" w:hAnsi="Times New Roman"/>
          <w:szCs w:val="22"/>
          <w:lang w:val="en-US"/>
        </w:rPr>
        <w:t xml:space="preserve">Action Required of </w:t>
      </w:r>
      <w:r w:rsidR="001957F0">
        <w:rPr>
          <w:rFonts w:ascii="Times New Roman" w:hAnsi="Times New Roman"/>
          <w:szCs w:val="22"/>
          <w:lang w:val="en-US"/>
        </w:rPr>
        <w:t>the Council</w:t>
      </w:r>
    </w:p>
    <w:p w14:paraId="23023F3E" w14:textId="77777777" w:rsidR="004F5A06" w:rsidRPr="001957F0" w:rsidRDefault="00795CA7" w:rsidP="005C1E7F">
      <w:pPr>
        <w:pStyle w:val="ListParagraph"/>
        <w:numPr>
          <w:ilvl w:val="0"/>
          <w:numId w:val="19"/>
        </w:numPr>
        <w:spacing w:after="120" w:line="240" w:lineRule="auto"/>
        <w:ind w:left="0" w:firstLine="0"/>
        <w:contextualSpacing w:val="0"/>
      </w:pPr>
      <w:r w:rsidRPr="001957F0">
        <w:t xml:space="preserve">The </w:t>
      </w:r>
      <w:r w:rsidR="005331B0" w:rsidRPr="001957F0">
        <w:t>IRCC</w:t>
      </w:r>
      <w:r w:rsidR="004F5A06" w:rsidRPr="001957F0">
        <w:t xml:space="preserve"> is invited to:</w:t>
      </w:r>
    </w:p>
    <w:p w14:paraId="2840EF2A" w14:textId="59076116" w:rsidR="004F5A06" w:rsidRPr="001957F0" w:rsidRDefault="004F5A06" w:rsidP="005C1E7F">
      <w:pPr>
        <w:pStyle w:val="subpara"/>
        <w:numPr>
          <w:ilvl w:val="0"/>
          <w:numId w:val="20"/>
        </w:numPr>
        <w:ind w:left="1077" w:right="0" w:hanging="357"/>
        <w:rPr>
          <w:rFonts w:ascii="Times New Roman" w:hAnsi="Times New Roman"/>
          <w:szCs w:val="22"/>
          <w:lang w:val="en-US"/>
        </w:rPr>
      </w:pPr>
      <w:r w:rsidRPr="001957F0">
        <w:rPr>
          <w:rFonts w:ascii="Times New Roman" w:hAnsi="Times New Roman"/>
          <w:szCs w:val="22"/>
          <w:lang w:val="en-US"/>
        </w:rPr>
        <w:t xml:space="preserve">endorse </w:t>
      </w:r>
      <w:r w:rsidR="00D97B63" w:rsidRPr="001957F0">
        <w:rPr>
          <w:rFonts w:ascii="Times New Roman" w:hAnsi="Times New Roman"/>
          <w:szCs w:val="22"/>
          <w:lang w:val="en-US"/>
        </w:rPr>
        <w:t xml:space="preserve">the proposal </w:t>
      </w:r>
      <w:r w:rsidR="001044B9" w:rsidRPr="001957F0">
        <w:rPr>
          <w:rFonts w:ascii="Times New Roman" w:hAnsi="Times New Roman"/>
          <w:szCs w:val="22"/>
          <w:lang w:val="en-US"/>
        </w:rPr>
        <w:t xml:space="preserve">of a </w:t>
      </w:r>
      <w:r w:rsidR="00A10CBF" w:rsidRPr="001957F0">
        <w:rPr>
          <w:rFonts w:ascii="Times New Roman" w:hAnsi="Times New Roman"/>
          <w:szCs w:val="22"/>
          <w:lang w:val="en-US"/>
        </w:rPr>
        <w:t xml:space="preserve">guaranteed </w:t>
      </w:r>
      <w:r w:rsidR="00754360" w:rsidRPr="001957F0">
        <w:rPr>
          <w:rFonts w:ascii="Times New Roman" w:hAnsi="Times New Roman"/>
          <w:szCs w:val="22"/>
          <w:lang w:val="en-US"/>
        </w:rPr>
        <w:t>mini</w:t>
      </w:r>
      <w:r w:rsidR="00047DB1" w:rsidRPr="001957F0">
        <w:rPr>
          <w:rFonts w:ascii="Times New Roman" w:hAnsi="Times New Roman"/>
          <w:szCs w:val="22"/>
          <w:lang w:val="en-US"/>
        </w:rPr>
        <w:t>m</w:t>
      </w:r>
      <w:r w:rsidR="00754360" w:rsidRPr="001957F0">
        <w:rPr>
          <w:rFonts w:ascii="Times New Roman" w:hAnsi="Times New Roman"/>
          <w:szCs w:val="22"/>
          <w:lang w:val="en-US"/>
        </w:rPr>
        <w:t xml:space="preserve">um </w:t>
      </w:r>
      <w:r w:rsidR="00A10CBF" w:rsidRPr="001957F0">
        <w:rPr>
          <w:rFonts w:ascii="Times New Roman" w:hAnsi="Times New Roman"/>
          <w:szCs w:val="22"/>
          <w:lang w:val="en-US"/>
        </w:rPr>
        <w:t>level of IHO Capacity Building Fund share as part of the IHO</w:t>
      </w:r>
      <w:r w:rsidR="00A10CBF" w:rsidRPr="001957F0" w:rsidDel="00A10CBF">
        <w:rPr>
          <w:rFonts w:ascii="Times New Roman" w:hAnsi="Times New Roman"/>
          <w:szCs w:val="22"/>
          <w:lang w:val="en-US"/>
        </w:rPr>
        <w:t xml:space="preserve"> </w:t>
      </w:r>
      <w:r w:rsidR="00A10CBF" w:rsidRPr="001957F0">
        <w:rPr>
          <w:rFonts w:ascii="Times New Roman" w:hAnsi="Times New Roman"/>
          <w:szCs w:val="22"/>
          <w:lang w:val="en-US"/>
        </w:rPr>
        <w:t xml:space="preserve">overall annual and </w:t>
      </w:r>
      <w:r w:rsidR="005C1E7F" w:rsidRPr="001957F0">
        <w:rPr>
          <w:rFonts w:ascii="Times New Roman" w:hAnsi="Times New Roman"/>
          <w:szCs w:val="22"/>
          <w:lang w:val="en-US"/>
        </w:rPr>
        <w:t>three-year</w:t>
      </w:r>
      <w:r w:rsidR="00A10CBF" w:rsidRPr="001957F0">
        <w:rPr>
          <w:rFonts w:ascii="Times New Roman" w:hAnsi="Times New Roman"/>
          <w:szCs w:val="22"/>
          <w:lang w:val="en-US"/>
        </w:rPr>
        <w:t xml:space="preserve"> budget</w:t>
      </w:r>
      <w:r w:rsidR="00D97B63" w:rsidRPr="001957F0">
        <w:rPr>
          <w:rFonts w:ascii="Times New Roman" w:hAnsi="Times New Roman"/>
          <w:szCs w:val="22"/>
          <w:lang w:val="en-US"/>
        </w:rPr>
        <w:t>;</w:t>
      </w:r>
    </w:p>
    <w:p w14:paraId="5E23D63A" w14:textId="7BC398B2" w:rsidR="001044B9" w:rsidRPr="001957F0" w:rsidRDefault="001044B9" w:rsidP="005C1E7F">
      <w:pPr>
        <w:pStyle w:val="subpara"/>
        <w:numPr>
          <w:ilvl w:val="0"/>
          <w:numId w:val="20"/>
        </w:numPr>
        <w:ind w:left="1077" w:right="0" w:hanging="357"/>
        <w:rPr>
          <w:rFonts w:ascii="Times New Roman" w:hAnsi="Times New Roman"/>
          <w:szCs w:val="22"/>
          <w:lang w:val="en-US"/>
        </w:rPr>
      </w:pPr>
      <w:r w:rsidRPr="001957F0">
        <w:rPr>
          <w:rFonts w:ascii="Times New Roman" w:hAnsi="Times New Roman"/>
          <w:szCs w:val="22"/>
          <w:lang w:val="en-US"/>
        </w:rPr>
        <w:t xml:space="preserve">consider additional contributions beyond Member States contributions to the IHO budget to cover this request; </w:t>
      </w:r>
    </w:p>
    <w:p w14:paraId="1FDE6336" w14:textId="713DA67C" w:rsidR="00DA28C3" w:rsidRPr="001957F0" w:rsidRDefault="00DA28C3" w:rsidP="005C1E7F">
      <w:pPr>
        <w:pStyle w:val="subpara"/>
        <w:numPr>
          <w:ilvl w:val="0"/>
          <w:numId w:val="20"/>
        </w:numPr>
        <w:ind w:left="1077" w:right="0" w:hanging="357"/>
        <w:rPr>
          <w:rFonts w:ascii="Times New Roman" w:hAnsi="Times New Roman"/>
          <w:szCs w:val="22"/>
          <w:lang w:val="en-US"/>
        </w:rPr>
      </w:pPr>
      <w:r w:rsidRPr="001957F0">
        <w:rPr>
          <w:rFonts w:ascii="Times New Roman" w:hAnsi="Times New Roman"/>
          <w:szCs w:val="22"/>
          <w:lang w:val="en-US"/>
        </w:rPr>
        <w:t>confirm the intention to seek a potential increase of Member States contributions</w:t>
      </w:r>
      <w:r w:rsidR="001044B9" w:rsidRPr="001957F0">
        <w:rPr>
          <w:rFonts w:ascii="Times New Roman" w:hAnsi="Times New Roman"/>
          <w:szCs w:val="22"/>
          <w:lang w:val="en-US"/>
        </w:rPr>
        <w:t xml:space="preserve"> if there is no other option to cover </w:t>
      </w:r>
      <w:r w:rsidR="005C1E7F">
        <w:rPr>
          <w:rFonts w:ascii="Times New Roman" w:hAnsi="Times New Roman"/>
          <w:szCs w:val="22"/>
          <w:lang w:val="en-US"/>
        </w:rPr>
        <w:t>the current proposal;</w:t>
      </w:r>
      <w:r w:rsidRPr="001957F0">
        <w:rPr>
          <w:rFonts w:ascii="Times New Roman" w:hAnsi="Times New Roman"/>
          <w:szCs w:val="22"/>
          <w:lang w:val="en-US"/>
        </w:rPr>
        <w:t xml:space="preserve"> </w:t>
      </w:r>
    </w:p>
    <w:p w14:paraId="3190D6ED" w14:textId="3913CA0B" w:rsidR="001044B9" w:rsidRPr="001957F0" w:rsidRDefault="005C1E7F" w:rsidP="005C1E7F">
      <w:pPr>
        <w:pStyle w:val="subpara"/>
        <w:numPr>
          <w:ilvl w:val="0"/>
          <w:numId w:val="20"/>
        </w:numPr>
        <w:ind w:left="1077" w:right="0" w:hanging="357"/>
        <w:rPr>
          <w:rFonts w:ascii="Times New Roman" w:hAnsi="Times New Roman"/>
          <w:szCs w:val="22"/>
          <w:lang w:val="en-US"/>
        </w:rPr>
      </w:pPr>
      <w:r>
        <w:rPr>
          <w:rFonts w:ascii="Times New Roman" w:hAnsi="Times New Roman"/>
          <w:szCs w:val="22"/>
          <w:lang w:val="en-US"/>
        </w:rPr>
        <w:t>task</w:t>
      </w:r>
      <w:r w:rsidR="00DA28C3" w:rsidRPr="001957F0">
        <w:rPr>
          <w:rFonts w:ascii="Times New Roman" w:hAnsi="Times New Roman"/>
          <w:szCs w:val="22"/>
          <w:lang w:val="en-US"/>
        </w:rPr>
        <w:t xml:space="preserve"> the Secretariat to </w:t>
      </w:r>
      <w:r w:rsidR="00754360" w:rsidRPr="001957F0">
        <w:rPr>
          <w:rFonts w:ascii="Times New Roman" w:hAnsi="Times New Roman"/>
          <w:szCs w:val="22"/>
          <w:lang w:val="en-US"/>
        </w:rPr>
        <w:t>incorporate</w:t>
      </w:r>
      <w:r w:rsidR="00DA28C3" w:rsidRPr="001957F0">
        <w:rPr>
          <w:rFonts w:ascii="Times New Roman" w:hAnsi="Times New Roman"/>
          <w:szCs w:val="22"/>
          <w:lang w:val="en-US"/>
        </w:rPr>
        <w:t xml:space="preserve"> </w:t>
      </w:r>
      <w:r w:rsidR="001044B9" w:rsidRPr="001957F0">
        <w:rPr>
          <w:rFonts w:ascii="Times New Roman" w:hAnsi="Times New Roman"/>
          <w:szCs w:val="22"/>
          <w:lang w:val="en-US"/>
        </w:rPr>
        <w:t xml:space="preserve">this proposal </w:t>
      </w:r>
      <w:r w:rsidR="00DA28C3" w:rsidRPr="001957F0">
        <w:rPr>
          <w:rFonts w:ascii="Times New Roman" w:hAnsi="Times New Roman"/>
          <w:szCs w:val="22"/>
          <w:lang w:val="en-US"/>
        </w:rPr>
        <w:t xml:space="preserve">in the </w:t>
      </w:r>
      <w:r w:rsidR="00754360" w:rsidRPr="001957F0">
        <w:rPr>
          <w:rFonts w:ascii="Times New Roman" w:hAnsi="Times New Roman"/>
          <w:szCs w:val="22"/>
          <w:lang w:val="en-US"/>
        </w:rPr>
        <w:t xml:space="preserve">preparation </w:t>
      </w:r>
      <w:r w:rsidR="00DA28C3" w:rsidRPr="001957F0">
        <w:rPr>
          <w:rFonts w:ascii="Times New Roman" w:hAnsi="Times New Roman"/>
          <w:szCs w:val="22"/>
          <w:lang w:val="en-US"/>
        </w:rPr>
        <w:t xml:space="preserve">of the drafting of the annual budget proposal for 2020 and the three years budget for 2021-2023 </w:t>
      </w:r>
      <w:r>
        <w:rPr>
          <w:rFonts w:ascii="Times New Roman" w:hAnsi="Times New Roman"/>
          <w:szCs w:val="22"/>
          <w:lang w:val="en-US"/>
        </w:rPr>
        <w:t>and seek approval</w:t>
      </w:r>
      <w:r w:rsidR="00DA28C3" w:rsidRPr="001957F0">
        <w:rPr>
          <w:rFonts w:ascii="Times New Roman" w:hAnsi="Times New Roman"/>
          <w:szCs w:val="22"/>
          <w:lang w:val="en-US"/>
        </w:rPr>
        <w:t xml:space="preserve"> by the Assembly (A-2)</w:t>
      </w:r>
      <w:r>
        <w:rPr>
          <w:rFonts w:ascii="Times New Roman" w:hAnsi="Times New Roman"/>
          <w:szCs w:val="22"/>
          <w:lang w:val="en-US"/>
        </w:rPr>
        <w:t>;</w:t>
      </w:r>
    </w:p>
    <w:p w14:paraId="765AA00C" w14:textId="3B4AEE3D" w:rsidR="00AD3621" w:rsidRDefault="00D97B63" w:rsidP="00AD3621">
      <w:pPr>
        <w:pStyle w:val="subpara"/>
        <w:numPr>
          <w:ilvl w:val="0"/>
          <w:numId w:val="20"/>
        </w:numPr>
        <w:ind w:left="1077" w:right="0" w:hanging="357"/>
        <w:rPr>
          <w:rFonts w:ascii="Times New Roman" w:hAnsi="Times New Roman"/>
          <w:szCs w:val="22"/>
          <w:lang w:val="en-US"/>
        </w:rPr>
      </w:pPr>
      <w:proofErr w:type="gramStart"/>
      <w:r w:rsidRPr="001957F0">
        <w:rPr>
          <w:rFonts w:ascii="Times New Roman" w:hAnsi="Times New Roman"/>
          <w:szCs w:val="22"/>
          <w:lang w:val="en-US"/>
        </w:rPr>
        <w:t>take</w:t>
      </w:r>
      <w:proofErr w:type="gramEnd"/>
      <w:r w:rsidRPr="001957F0">
        <w:rPr>
          <w:rFonts w:ascii="Times New Roman" w:hAnsi="Times New Roman"/>
          <w:szCs w:val="22"/>
          <w:lang w:val="en-US"/>
        </w:rPr>
        <w:t xml:space="preserve"> any other action seen appropriate</w:t>
      </w:r>
      <w:r w:rsidR="001044B9" w:rsidRPr="001957F0">
        <w:rPr>
          <w:rFonts w:ascii="Times New Roman" w:hAnsi="Times New Roman"/>
          <w:szCs w:val="22"/>
          <w:lang w:val="en-US"/>
        </w:rPr>
        <w:t>.</w:t>
      </w:r>
    </w:p>
    <w:p w14:paraId="44A28083" w14:textId="77777777" w:rsidR="00AD3621" w:rsidRDefault="00AD3621" w:rsidP="00AD3621">
      <w:pPr>
        <w:pStyle w:val="subpara"/>
        <w:ind w:left="0" w:right="0" w:firstLine="0"/>
        <w:rPr>
          <w:rFonts w:ascii="Times New Roman" w:hAnsi="Times New Roman"/>
          <w:szCs w:val="22"/>
          <w:lang w:val="en-US"/>
        </w:rPr>
      </w:pPr>
    </w:p>
    <w:p w14:paraId="29290013" w14:textId="24F4B49E" w:rsidR="00AD3621" w:rsidRDefault="00AD3621" w:rsidP="00AD3621">
      <w:pPr>
        <w:pStyle w:val="subpara"/>
        <w:ind w:left="0" w:right="0" w:firstLine="0"/>
        <w:rPr>
          <w:rFonts w:ascii="Times New Roman" w:hAnsi="Times New Roman"/>
          <w:szCs w:val="22"/>
          <w:u w:val="single"/>
        </w:rPr>
      </w:pPr>
      <w:r w:rsidRPr="00AD3621">
        <w:rPr>
          <w:rFonts w:ascii="Times New Roman" w:hAnsi="Times New Roman"/>
          <w:szCs w:val="22"/>
          <w:u w:val="single"/>
        </w:rPr>
        <w:t>Appendix:</w:t>
      </w:r>
    </w:p>
    <w:p w14:paraId="1227B38A" w14:textId="3E337F6C" w:rsidR="00AD3621" w:rsidRPr="00AD3621" w:rsidRDefault="00AD3621" w:rsidP="00AD3621">
      <w:pPr>
        <w:pStyle w:val="subpara"/>
        <w:ind w:left="0" w:right="0" w:firstLine="0"/>
        <w:rPr>
          <w:rFonts w:ascii="Times New Roman" w:hAnsi="Times New Roman"/>
          <w:szCs w:val="22"/>
          <w:lang w:val="en-US"/>
        </w:rPr>
      </w:pPr>
      <w:r>
        <w:rPr>
          <w:rFonts w:ascii="Times New Roman" w:hAnsi="Times New Roman"/>
          <w:lang w:val="en-US"/>
        </w:rPr>
        <w:t>S</w:t>
      </w:r>
      <w:r w:rsidRPr="00AD3621">
        <w:rPr>
          <w:rFonts w:ascii="Times New Roman" w:hAnsi="Times New Roman"/>
          <w:lang w:val="en-US"/>
        </w:rPr>
        <w:t xml:space="preserve">tatistics from 2016 to 2018 on the execution of the annual CB Work </w:t>
      </w:r>
      <w:proofErr w:type="spellStart"/>
      <w:r w:rsidRPr="00AD3621">
        <w:rPr>
          <w:rFonts w:ascii="Times New Roman" w:hAnsi="Times New Roman"/>
          <w:lang w:val="en-US"/>
        </w:rPr>
        <w:t>Programmes</w:t>
      </w:r>
      <w:proofErr w:type="spellEnd"/>
      <w:r w:rsidRPr="00AD3621">
        <w:rPr>
          <w:rFonts w:ascii="Times New Roman" w:hAnsi="Times New Roman"/>
          <w:lang w:val="en-US"/>
        </w:rPr>
        <w:t xml:space="preserve"> (CBWP</w:t>
      </w:r>
      <w:r>
        <w:rPr>
          <w:lang w:val="en-US"/>
        </w:rPr>
        <w:t>)</w:t>
      </w:r>
    </w:p>
    <w:sectPr w:rsidR="00AD3621" w:rsidRPr="00AD3621" w:rsidSect="001957F0">
      <w:headerReference w:type="default" r:id="rId8"/>
      <w:pgSz w:w="11906" w:h="16838"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DD41A" w14:textId="77777777" w:rsidR="003F2B64" w:rsidRDefault="003F2B64">
      <w:r>
        <w:separator/>
      </w:r>
    </w:p>
  </w:endnote>
  <w:endnote w:type="continuationSeparator" w:id="0">
    <w:p w14:paraId="7E28D312" w14:textId="77777777" w:rsidR="003F2B64" w:rsidRDefault="003F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AD1D7" w14:textId="77777777" w:rsidR="003F2B64" w:rsidRDefault="003F2B64">
      <w:r>
        <w:separator/>
      </w:r>
    </w:p>
  </w:footnote>
  <w:footnote w:type="continuationSeparator" w:id="0">
    <w:p w14:paraId="52B1BD02" w14:textId="77777777" w:rsidR="003F2B64" w:rsidRDefault="003F2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0F321" w14:textId="60CB6FB0" w:rsidR="00795CA7" w:rsidRDefault="001957F0" w:rsidP="001957F0">
    <w:pPr>
      <w:pStyle w:val="Header"/>
      <w:jc w:val="right"/>
    </w:pPr>
    <w:r>
      <w:t>Annex B</w:t>
    </w:r>
  </w:p>
  <w:p w14:paraId="77889B29" w14:textId="7D48B389" w:rsidR="001957F0" w:rsidRPr="00E77D4E" w:rsidRDefault="001957F0" w:rsidP="001957F0">
    <w:pPr>
      <w:pStyle w:val="Header"/>
      <w:jc w:val="right"/>
    </w:pPr>
    <w:r>
      <w:t>to C3-04.2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A5E"/>
    <w:multiLevelType w:val="hybridMultilevel"/>
    <w:tmpl w:val="E822F11C"/>
    <w:lvl w:ilvl="0" w:tplc="040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25171"/>
    <w:multiLevelType w:val="hybridMultilevel"/>
    <w:tmpl w:val="3F84F7EC"/>
    <w:lvl w:ilvl="0" w:tplc="FE42F596">
      <w:start w:val="1"/>
      <w:numFmt w:val="lowerLetter"/>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0E43413A"/>
    <w:multiLevelType w:val="hybridMultilevel"/>
    <w:tmpl w:val="A528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46289"/>
    <w:multiLevelType w:val="hybridMultilevel"/>
    <w:tmpl w:val="C4E89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BB0F78"/>
    <w:multiLevelType w:val="hybridMultilevel"/>
    <w:tmpl w:val="BFB89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37EAA"/>
    <w:multiLevelType w:val="hybridMultilevel"/>
    <w:tmpl w:val="E58E0FAA"/>
    <w:lvl w:ilvl="0" w:tplc="9DB00CC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23F38"/>
    <w:multiLevelType w:val="hybridMultilevel"/>
    <w:tmpl w:val="BA00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C339A"/>
    <w:multiLevelType w:val="hybridMultilevel"/>
    <w:tmpl w:val="A4282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A5ECB"/>
    <w:multiLevelType w:val="hybridMultilevel"/>
    <w:tmpl w:val="682C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F5695"/>
    <w:multiLevelType w:val="hybridMultilevel"/>
    <w:tmpl w:val="32F8B94C"/>
    <w:lvl w:ilvl="0" w:tplc="0409000F">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0" w15:restartNumberingAfterBreak="0">
    <w:nsid w:val="5569569C"/>
    <w:multiLevelType w:val="hybridMultilevel"/>
    <w:tmpl w:val="56AA4D90"/>
    <w:lvl w:ilvl="0" w:tplc="0076E94A">
      <w:start w:val="14"/>
      <w:numFmt w:val="bullet"/>
      <w:lvlText w:val=""/>
      <w:lvlJc w:val="left"/>
      <w:pPr>
        <w:ind w:left="944" w:hanging="468"/>
      </w:pPr>
      <w:rPr>
        <w:rFonts w:ascii="Times New Roman" w:eastAsia="Times New Roman" w:hAnsi="Times New Roman" w:cs="Times New Roman"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1" w15:restartNumberingAfterBreak="0">
    <w:nsid w:val="5A73316E"/>
    <w:multiLevelType w:val="hybridMultilevel"/>
    <w:tmpl w:val="CAA47582"/>
    <w:lvl w:ilvl="0" w:tplc="259AEAB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1E4E5D"/>
    <w:multiLevelType w:val="hybridMultilevel"/>
    <w:tmpl w:val="17D0E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6C53F9"/>
    <w:multiLevelType w:val="hybridMultilevel"/>
    <w:tmpl w:val="9440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82A77"/>
    <w:multiLevelType w:val="hybridMultilevel"/>
    <w:tmpl w:val="D9EA9DD8"/>
    <w:lvl w:ilvl="0" w:tplc="F28C6ED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2D6C0A"/>
    <w:multiLevelType w:val="hybridMultilevel"/>
    <w:tmpl w:val="18ACCB7A"/>
    <w:lvl w:ilvl="0" w:tplc="04090017">
      <w:start w:val="1"/>
      <w:numFmt w:val="lowerLetter"/>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6A657C06"/>
    <w:multiLevelType w:val="hybridMultilevel"/>
    <w:tmpl w:val="D6203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733CF"/>
    <w:multiLevelType w:val="hybridMultilevel"/>
    <w:tmpl w:val="AEDEFCAC"/>
    <w:lvl w:ilvl="0" w:tplc="0407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71C9D"/>
    <w:multiLevelType w:val="hybridMultilevel"/>
    <w:tmpl w:val="0614AA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CF16EA"/>
    <w:multiLevelType w:val="hybridMultilevel"/>
    <w:tmpl w:val="88687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8"/>
  </w:num>
  <w:num w:numId="5">
    <w:abstractNumId w:val="9"/>
  </w:num>
  <w:num w:numId="6">
    <w:abstractNumId w:val="18"/>
  </w:num>
  <w:num w:numId="7">
    <w:abstractNumId w:val="13"/>
  </w:num>
  <w:num w:numId="8">
    <w:abstractNumId w:val="5"/>
  </w:num>
  <w:num w:numId="9">
    <w:abstractNumId w:val="4"/>
  </w:num>
  <w:num w:numId="10">
    <w:abstractNumId w:val="16"/>
  </w:num>
  <w:num w:numId="11">
    <w:abstractNumId w:val="2"/>
  </w:num>
  <w:num w:numId="12">
    <w:abstractNumId w:val="12"/>
  </w:num>
  <w:num w:numId="13">
    <w:abstractNumId w:val="14"/>
  </w:num>
  <w:num w:numId="14">
    <w:abstractNumId w:val="17"/>
  </w:num>
  <w:num w:numId="15">
    <w:abstractNumId w:val="0"/>
  </w:num>
  <w:num w:numId="16">
    <w:abstractNumId w:val="19"/>
  </w:num>
  <w:num w:numId="17">
    <w:abstractNumId w:val="11"/>
  </w:num>
  <w:num w:numId="18">
    <w:abstractNumId w:val="1"/>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47DB1"/>
    <w:rsid w:val="000604D2"/>
    <w:rsid w:val="0006536A"/>
    <w:rsid w:val="00073FEC"/>
    <w:rsid w:val="00091D36"/>
    <w:rsid w:val="00097255"/>
    <w:rsid w:val="000C3044"/>
    <w:rsid w:val="000E13C5"/>
    <w:rsid w:val="000E7AFA"/>
    <w:rsid w:val="001037F1"/>
    <w:rsid w:val="001044B9"/>
    <w:rsid w:val="0011653C"/>
    <w:rsid w:val="00162A57"/>
    <w:rsid w:val="00184A28"/>
    <w:rsid w:val="001957F0"/>
    <w:rsid w:val="001A690A"/>
    <w:rsid w:val="001A7C21"/>
    <w:rsid w:val="001B1F9F"/>
    <w:rsid w:val="001B6177"/>
    <w:rsid w:val="00221D0A"/>
    <w:rsid w:val="00272C1F"/>
    <w:rsid w:val="00281D6E"/>
    <w:rsid w:val="002954E8"/>
    <w:rsid w:val="002A02DF"/>
    <w:rsid w:val="002B2F5B"/>
    <w:rsid w:val="003130DD"/>
    <w:rsid w:val="003179F4"/>
    <w:rsid w:val="00330437"/>
    <w:rsid w:val="00337B54"/>
    <w:rsid w:val="003433FF"/>
    <w:rsid w:val="00347C0F"/>
    <w:rsid w:val="00351CCA"/>
    <w:rsid w:val="0036094F"/>
    <w:rsid w:val="00372740"/>
    <w:rsid w:val="003A305A"/>
    <w:rsid w:val="003A791E"/>
    <w:rsid w:val="003C4771"/>
    <w:rsid w:val="003C7F44"/>
    <w:rsid w:val="003F2B64"/>
    <w:rsid w:val="003F4261"/>
    <w:rsid w:val="0040082C"/>
    <w:rsid w:val="00400A01"/>
    <w:rsid w:val="00405D68"/>
    <w:rsid w:val="00416EF0"/>
    <w:rsid w:val="00435359"/>
    <w:rsid w:val="00442030"/>
    <w:rsid w:val="0045024B"/>
    <w:rsid w:val="00465E50"/>
    <w:rsid w:val="00471D90"/>
    <w:rsid w:val="0048189D"/>
    <w:rsid w:val="0048675E"/>
    <w:rsid w:val="004A07DC"/>
    <w:rsid w:val="004A533B"/>
    <w:rsid w:val="004A5897"/>
    <w:rsid w:val="004B18A2"/>
    <w:rsid w:val="004C7C58"/>
    <w:rsid w:val="004D0EAF"/>
    <w:rsid w:val="004F3999"/>
    <w:rsid w:val="004F5A06"/>
    <w:rsid w:val="00515C69"/>
    <w:rsid w:val="00520122"/>
    <w:rsid w:val="00527096"/>
    <w:rsid w:val="005331B0"/>
    <w:rsid w:val="005544C5"/>
    <w:rsid w:val="00585058"/>
    <w:rsid w:val="005B7818"/>
    <w:rsid w:val="005C1E7F"/>
    <w:rsid w:val="005C282B"/>
    <w:rsid w:val="005C2FB6"/>
    <w:rsid w:val="005C6AF6"/>
    <w:rsid w:val="005D5BDB"/>
    <w:rsid w:val="005E7388"/>
    <w:rsid w:val="005F7449"/>
    <w:rsid w:val="00602691"/>
    <w:rsid w:val="0060624C"/>
    <w:rsid w:val="0061177D"/>
    <w:rsid w:val="0063140C"/>
    <w:rsid w:val="00637CBC"/>
    <w:rsid w:val="00642AC2"/>
    <w:rsid w:val="006573D2"/>
    <w:rsid w:val="006720E0"/>
    <w:rsid w:val="006A1759"/>
    <w:rsid w:val="006D42A4"/>
    <w:rsid w:val="006D76D4"/>
    <w:rsid w:val="006E5BCA"/>
    <w:rsid w:val="006F11C2"/>
    <w:rsid w:val="006F11DA"/>
    <w:rsid w:val="00704928"/>
    <w:rsid w:val="00733C86"/>
    <w:rsid w:val="00742F1E"/>
    <w:rsid w:val="007514E7"/>
    <w:rsid w:val="00753AAF"/>
    <w:rsid w:val="00754360"/>
    <w:rsid w:val="00757F94"/>
    <w:rsid w:val="0077092F"/>
    <w:rsid w:val="00770C0B"/>
    <w:rsid w:val="00782884"/>
    <w:rsid w:val="00792BA6"/>
    <w:rsid w:val="00795CA7"/>
    <w:rsid w:val="007A617E"/>
    <w:rsid w:val="007B3BAC"/>
    <w:rsid w:val="007C4ED6"/>
    <w:rsid w:val="007C756F"/>
    <w:rsid w:val="007D1512"/>
    <w:rsid w:val="007D2093"/>
    <w:rsid w:val="007D52B1"/>
    <w:rsid w:val="007E4A21"/>
    <w:rsid w:val="007F0406"/>
    <w:rsid w:val="007F2E3C"/>
    <w:rsid w:val="00840D5D"/>
    <w:rsid w:val="00863FC0"/>
    <w:rsid w:val="00864611"/>
    <w:rsid w:val="008649FA"/>
    <w:rsid w:val="00874192"/>
    <w:rsid w:val="00886FAD"/>
    <w:rsid w:val="00892E93"/>
    <w:rsid w:val="008943B6"/>
    <w:rsid w:val="00897981"/>
    <w:rsid w:val="008A4A31"/>
    <w:rsid w:val="008A6239"/>
    <w:rsid w:val="008B3AF3"/>
    <w:rsid w:val="008D26D0"/>
    <w:rsid w:val="008E1E14"/>
    <w:rsid w:val="008E2DE0"/>
    <w:rsid w:val="008E5BE6"/>
    <w:rsid w:val="009172C0"/>
    <w:rsid w:val="0091739C"/>
    <w:rsid w:val="0092198D"/>
    <w:rsid w:val="00963FAE"/>
    <w:rsid w:val="00993340"/>
    <w:rsid w:val="009A7F6A"/>
    <w:rsid w:val="009D1BB6"/>
    <w:rsid w:val="009E5003"/>
    <w:rsid w:val="00A00B46"/>
    <w:rsid w:val="00A06F8E"/>
    <w:rsid w:val="00A10CBF"/>
    <w:rsid w:val="00A11BCF"/>
    <w:rsid w:val="00A265E1"/>
    <w:rsid w:val="00A30278"/>
    <w:rsid w:val="00A352EC"/>
    <w:rsid w:val="00A44070"/>
    <w:rsid w:val="00A5132D"/>
    <w:rsid w:val="00A665C5"/>
    <w:rsid w:val="00A719C7"/>
    <w:rsid w:val="00A7450D"/>
    <w:rsid w:val="00A82CB8"/>
    <w:rsid w:val="00AA14CE"/>
    <w:rsid w:val="00AA77E6"/>
    <w:rsid w:val="00AB27CE"/>
    <w:rsid w:val="00AC3A75"/>
    <w:rsid w:val="00AD3621"/>
    <w:rsid w:val="00AE0CCC"/>
    <w:rsid w:val="00AE40A9"/>
    <w:rsid w:val="00AF1451"/>
    <w:rsid w:val="00AF5D6D"/>
    <w:rsid w:val="00B0447D"/>
    <w:rsid w:val="00B4258B"/>
    <w:rsid w:val="00B457DD"/>
    <w:rsid w:val="00B710BE"/>
    <w:rsid w:val="00B8628B"/>
    <w:rsid w:val="00B97F21"/>
    <w:rsid w:val="00BA6643"/>
    <w:rsid w:val="00BB7D11"/>
    <w:rsid w:val="00BC62C4"/>
    <w:rsid w:val="00BE5BD6"/>
    <w:rsid w:val="00BF42C9"/>
    <w:rsid w:val="00BF584A"/>
    <w:rsid w:val="00C065BF"/>
    <w:rsid w:val="00C15666"/>
    <w:rsid w:val="00C36F60"/>
    <w:rsid w:val="00C647A8"/>
    <w:rsid w:val="00C72A66"/>
    <w:rsid w:val="00C77C04"/>
    <w:rsid w:val="00C82A2B"/>
    <w:rsid w:val="00C927CA"/>
    <w:rsid w:val="00CA210A"/>
    <w:rsid w:val="00CA634F"/>
    <w:rsid w:val="00CF26D3"/>
    <w:rsid w:val="00D33030"/>
    <w:rsid w:val="00D34698"/>
    <w:rsid w:val="00D43F07"/>
    <w:rsid w:val="00D64234"/>
    <w:rsid w:val="00D80E5B"/>
    <w:rsid w:val="00D83733"/>
    <w:rsid w:val="00D855D6"/>
    <w:rsid w:val="00D97B63"/>
    <w:rsid w:val="00DA28C3"/>
    <w:rsid w:val="00DA5578"/>
    <w:rsid w:val="00DA7A2D"/>
    <w:rsid w:val="00DD148A"/>
    <w:rsid w:val="00DD1C37"/>
    <w:rsid w:val="00DF3E42"/>
    <w:rsid w:val="00DF4BFA"/>
    <w:rsid w:val="00DF7676"/>
    <w:rsid w:val="00E15A31"/>
    <w:rsid w:val="00E77D4E"/>
    <w:rsid w:val="00E83C74"/>
    <w:rsid w:val="00E93C65"/>
    <w:rsid w:val="00E96C6D"/>
    <w:rsid w:val="00EC0FD3"/>
    <w:rsid w:val="00ED2E7F"/>
    <w:rsid w:val="00F23A87"/>
    <w:rsid w:val="00F35E9B"/>
    <w:rsid w:val="00F4077B"/>
    <w:rsid w:val="00F543C9"/>
    <w:rsid w:val="00F57D6E"/>
    <w:rsid w:val="00F91D05"/>
    <w:rsid w:val="00FA00EB"/>
    <w:rsid w:val="00FA5DDD"/>
    <w:rsid w:val="00FB5CAC"/>
    <w:rsid w:val="00FC0FEC"/>
    <w:rsid w:val="00FD1F13"/>
    <w:rsid w:val="00FD3655"/>
    <w:rsid w:val="00FD5FE5"/>
    <w:rsid w:val="00FE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41E28"/>
  <w15:docId w15:val="{2036545F-C90D-4760-ADE4-A53D70F4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rPr>
      <w:sz w:val="24"/>
      <w:szCs w:val="24"/>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5A06"/>
    <w:pPr>
      <w:tabs>
        <w:tab w:val="center" w:pos="4320"/>
        <w:tab w:val="right" w:pos="8640"/>
      </w:tabs>
    </w:pPr>
  </w:style>
  <w:style w:type="paragraph" w:styleId="Footer">
    <w:name w:val="footer"/>
    <w:basedOn w:val="Normal"/>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link w:val="BalloonTextChar"/>
    <w:uiPriority w:val="99"/>
    <w:semiHidden/>
    <w:rsid w:val="00AB27CE"/>
    <w:rPr>
      <w:rFonts w:ascii="Tahoma" w:hAnsi="Tahoma" w:cs="Tahoma"/>
      <w:sz w:val="16"/>
      <w:szCs w:val="16"/>
    </w:rPr>
  </w:style>
  <w:style w:type="paragraph" w:customStyle="1" w:styleId="Default">
    <w:name w:val="Default"/>
    <w:rsid w:val="00465E50"/>
    <w:pPr>
      <w:autoSpaceDE w:val="0"/>
      <w:autoSpaceDN w:val="0"/>
      <w:adjustRightInd w:val="0"/>
    </w:pPr>
    <w:rPr>
      <w:rFonts w:ascii="Arial" w:hAnsi="Arial" w:cs="Arial"/>
      <w:color w:val="000000"/>
      <w:sz w:val="24"/>
      <w:szCs w:val="24"/>
      <w:lang w:val="fr-FR" w:eastAsia="fr-FR"/>
    </w:rPr>
  </w:style>
  <w:style w:type="character" w:styleId="Hyperlink">
    <w:name w:val="Hyperlink"/>
    <w:rsid w:val="00465E50"/>
    <w:rPr>
      <w:color w:val="0000FF"/>
      <w:u w:val="single"/>
    </w:rPr>
  </w:style>
  <w:style w:type="character" w:customStyle="1" w:styleId="HeaderChar">
    <w:name w:val="Header Char"/>
    <w:link w:val="Header"/>
    <w:uiPriority w:val="99"/>
    <w:rsid w:val="00AF5D6D"/>
    <w:rPr>
      <w:sz w:val="24"/>
      <w:szCs w:val="24"/>
    </w:rPr>
  </w:style>
  <w:style w:type="paragraph" w:styleId="ListParagraph">
    <w:name w:val="List Paragraph"/>
    <w:basedOn w:val="Normal"/>
    <w:uiPriority w:val="34"/>
    <w:qFormat/>
    <w:rsid w:val="00CF26D3"/>
    <w:pPr>
      <w:spacing w:after="200" w:line="276" w:lineRule="auto"/>
      <w:ind w:left="720"/>
      <w:contextualSpacing/>
      <w:jc w:val="both"/>
    </w:pPr>
    <w:rPr>
      <w:rFonts w:eastAsia="Calibri"/>
      <w:sz w:val="22"/>
      <w:szCs w:val="22"/>
      <w:lang w:val="en-GB"/>
    </w:rPr>
  </w:style>
  <w:style w:type="paragraph" w:styleId="NoSpacing">
    <w:name w:val="No Spacing"/>
    <w:uiPriority w:val="1"/>
    <w:qFormat/>
    <w:rsid w:val="005C282B"/>
    <w:rPr>
      <w:rFonts w:asciiTheme="minorHAnsi" w:eastAsiaTheme="minorEastAsia" w:hAnsiTheme="minorHAnsi" w:cstheme="minorBidi"/>
      <w:sz w:val="22"/>
      <w:szCs w:val="22"/>
    </w:rPr>
  </w:style>
  <w:style w:type="character" w:customStyle="1" w:styleId="BalloonTextChar">
    <w:name w:val="Balloon Text Char"/>
    <w:basedOn w:val="DefaultParagraphFont"/>
    <w:link w:val="BalloonText"/>
    <w:uiPriority w:val="99"/>
    <w:semiHidden/>
    <w:rsid w:val="005C282B"/>
    <w:rPr>
      <w:rFonts w:ascii="Tahoma" w:hAnsi="Tahoma" w:cs="Tahoma"/>
      <w:sz w:val="16"/>
      <w:szCs w:val="16"/>
    </w:rPr>
  </w:style>
  <w:style w:type="paragraph" w:styleId="Revision">
    <w:name w:val="Revision"/>
    <w:hidden/>
    <w:uiPriority w:val="99"/>
    <w:semiHidden/>
    <w:rsid w:val="005C282B"/>
    <w:rPr>
      <w:rFonts w:asciiTheme="minorHAnsi" w:eastAsiaTheme="minorEastAsia" w:hAnsiTheme="minorHAnsi" w:cstheme="minorBidi"/>
      <w:sz w:val="22"/>
      <w:szCs w:val="22"/>
    </w:rPr>
  </w:style>
  <w:style w:type="character" w:styleId="CommentReference">
    <w:name w:val="annotation reference"/>
    <w:basedOn w:val="DefaultParagraphFont"/>
    <w:uiPriority w:val="99"/>
    <w:unhideWhenUsed/>
    <w:rsid w:val="005C282B"/>
    <w:rPr>
      <w:sz w:val="16"/>
      <w:szCs w:val="16"/>
    </w:rPr>
  </w:style>
  <w:style w:type="paragraph" w:styleId="CommentText">
    <w:name w:val="annotation text"/>
    <w:basedOn w:val="Normal"/>
    <w:link w:val="CommentTextChar"/>
    <w:uiPriority w:val="99"/>
    <w:unhideWhenUsed/>
    <w:rsid w:val="005C282B"/>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5C282B"/>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unhideWhenUsed/>
    <w:rsid w:val="005C282B"/>
    <w:rPr>
      <w:b/>
      <w:bCs/>
    </w:rPr>
  </w:style>
  <w:style w:type="character" w:customStyle="1" w:styleId="CommentSubjectChar">
    <w:name w:val="Comment Subject Char"/>
    <w:basedOn w:val="CommentTextChar"/>
    <w:link w:val="CommentSubject"/>
    <w:uiPriority w:val="99"/>
    <w:rsid w:val="005C282B"/>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DAE7-E76F-4E0D-92F5-805D3B86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1078</Words>
  <Characters>6146</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subject/>
  <dc:creator>Alberto Costa Neves</dc:creator>
  <cp:keywords/>
  <cp:lastModifiedBy>MI</cp:lastModifiedBy>
  <cp:revision>5</cp:revision>
  <cp:lastPrinted>2007-11-26T07:44:00Z</cp:lastPrinted>
  <dcterms:created xsi:type="dcterms:W3CDTF">2019-06-24T05:29:00Z</dcterms:created>
  <dcterms:modified xsi:type="dcterms:W3CDTF">2019-07-10T22:31:00Z</dcterms:modified>
</cp:coreProperties>
</file>