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ED" w:rsidRPr="00C33011" w:rsidRDefault="00F548ED" w:rsidP="00256607">
      <w:pPr>
        <w:spacing w:after="0" w:line="240" w:lineRule="auto"/>
        <w:jc w:val="center"/>
        <w:rPr>
          <w:b/>
          <w:sz w:val="24"/>
          <w:szCs w:val="24"/>
        </w:rPr>
      </w:pPr>
    </w:p>
    <w:p w:rsidR="00C33011" w:rsidRDefault="00F7515C" w:rsidP="00256607">
      <w:pPr>
        <w:spacing w:after="0" w:line="240" w:lineRule="auto"/>
        <w:jc w:val="center"/>
        <w:rPr>
          <w:b/>
          <w:sz w:val="24"/>
          <w:szCs w:val="24"/>
        </w:rPr>
      </w:pPr>
      <w:r>
        <w:rPr>
          <w:b/>
          <w:sz w:val="24"/>
          <w:szCs w:val="24"/>
        </w:rPr>
        <w:t>1</w:t>
      </w:r>
      <w:r w:rsidR="007B1351">
        <w:rPr>
          <w:b/>
          <w:sz w:val="24"/>
          <w:szCs w:val="24"/>
        </w:rPr>
        <w:t>6</w:t>
      </w:r>
      <w:r w:rsidRPr="00F7515C">
        <w:rPr>
          <w:b/>
          <w:sz w:val="24"/>
          <w:szCs w:val="24"/>
          <w:vertAlign w:val="superscript"/>
        </w:rPr>
        <w:t>TH</w:t>
      </w:r>
      <w:r>
        <w:rPr>
          <w:b/>
          <w:sz w:val="24"/>
          <w:szCs w:val="24"/>
        </w:rPr>
        <w:t xml:space="preserve"> MEETING OF THE </w:t>
      </w:r>
      <w:r w:rsidR="007B1351">
        <w:rPr>
          <w:b/>
          <w:sz w:val="24"/>
          <w:szCs w:val="24"/>
        </w:rPr>
        <w:t>SOUTH WEST PACIFIC HYDROGRAPHIC COMMISSION (SWPHC16</w:t>
      </w:r>
      <w:r>
        <w:rPr>
          <w:b/>
          <w:sz w:val="24"/>
          <w:szCs w:val="24"/>
        </w:rPr>
        <w:t>)</w:t>
      </w:r>
    </w:p>
    <w:p w:rsidR="00F7515C" w:rsidRDefault="007B1351" w:rsidP="00256607">
      <w:pPr>
        <w:spacing w:after="0" w:line="240" w:lineRule="auto"/>
        <w:jc w:val="center"/>
        <w:rPr>
          <w:b/>
          <w:sz w:val="24"/>
          <w:szCs w:val="24"/>
        </w:rPr>
      </w:pPr>
      <w:proofErr w:type="spellStart"/>
      <w:r>
        <w:rPr>
          <w:b/>
          <w:sz w:val="24"/>
          <w:szCs w:val="24"/>
        </w:rPr>
        <w:t>Alofi</w:t>
      </w:r>
      <w:proofErr w:type="spellEnd"/>
      <w:r>
        <w:rPr>
          <w:b/>
          <w:sz w:val="24"/>
          <w:szCs w:val="24"/>
        </w:rPr>
        <w:t>, Niue</w:t>
      </w:r>
      <w:r w:rsidR="00F7515C">
        <w:rPr>
          <w:b/>
          <w:sz w:val="24"/>
          <w:szCs w:val="24"/>
        </w:rPr>
        <w:t xml:space="preserve">, </w:t>
      </w:r>
      <w:r>
        <w:rPr>
          <w:b/>
          <w:sz w:val="24"/>
          <w:szCs w:val="24"/>
        </w:rPr>
        <w:t>11 -</w:t>
      </w:r>
      <w:r w:rsidR="00F7515C">
        <w:rPr>
          <w:b/>
          <w:sz w:val="24"/>
          <w:szCs w:val="24"/>
        </w:rPr>
        <w:t xml:space="preserve"> </w:t>
      </w:r>
      <w:r w:rsidR="0047789C">
        <w:rPr>
          <w:b/>
          <w:sz w:val="24"/>
          <w:szCs w:val="24"/>
        </w:rPr>
        <w:t>1</w:t>
      </w:r>
      <w:r>
        <w:rPr>
          <w:b/>
          <w:sz w:val="24"/>
          <w:szCs w:val="24"/>
        </w:rPr>
        <w:t>4</w:t>
      </w:r>
      <w:r w:rsidR="0047789C">
        <w:rPr>
          <w:b/>
          <w:sz w:val="24"/>
          <w:szCs w:val="24"/>
        </w:rPr>
        <w:t xml:space="preserve"> </w:t>
      </w:r>
      <w:r>
        <w:rPr>
          <w:b/>
          <w:sz w:val="24"/>
          <w:szCs w:val="24"/>
        </w:rPr>
        <w:t>February 2019</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33011" w:rsidP="00256607">
      <w:pPr>
        <w:spacing w:after="0" w:line="240" w:lineRule="auto"/>
        <w:jc w:val="center"/>
        <w:rPr>
          <w:b/>
          <w:sz w:val="24"/>
          <w:szCs w:val="24"/>
        </w:rPr>
      </w:pPr>
      <w:r>
        <w:rPr>
          <w:b/>
          <w:sz w:val="24"/>
          <w:szCs w:val="24"/>
        </w:rPr>
        <w:t>NATIONAL REPORTS FROM [</w:t>
      </w:r>
      <w:r>
        <w:rPr>
          <w:i/>
          <w:sz w:val="24"/>
          <w:szCs w:val="24"/>
        </w:rPr>
        <w:t>Name of the Country</w:t>
      </w:r>
      <w:r w:rsidR="00F7515C">
        <w:rPr>
          <w:b/>
          <w:sz w:val="24"/>
          <w:szCs w:val="24"/>
        </w:rPr>
        <w:t xml:space="preserve">] TO THE </w:t>
      </w:r>
      <w:r w:rsidR="005E640F">
        <w:rPr>
          <w:b/>
          <w:sz w:val="24"/>
          <w:szCs w:val="24"/>
        </w:rPr>
        <w:t>SWPHC16</w:t>
      </w:r>
    </w:p>
    <w:p w:rsidR="00256607" w:rsidRPr="00C33011" w:rsidRDefault="00256607" w:rsidP="00256607">
      <w:pPr>
        <w:spacing w:after="0" w:line="240" w:lineRule="auto"/>
        <w:jc w:val="center"/>
        <w:rPr>
          <w:sz w:val="24"/>
          <w:szCs w:val="24"/>
        </w:rPr>
      </w:pPr>
    </w:p>
    <w:p w:rsidR="00256607" w:rsidRPr="00C33011" w:rsidRDefault="00F26F55" w:rsidP="00256607">
      <w:pPr>
        <w:spacing w:after="0" w:line="240" w:lineRule="auto"/>
        <w:rPr>
          <w:sz w:val="24"/>
          <w:szCs w:val="24"/>
        </w:rPr>
      </w:pPr>
      <w:r w:rsidRPr="00C33011">
        <w:rPr>
          <w:sz w:val="24"/>
          <w:szCs w:val="24"/>
        </w:rPr>
        <w:t>Reference</w:t>
      </w:r>
      <w:r w:rsidR="00256607" w:rsidRPr="00C33011">
        <w:rPr>
          <w:sz w:val="24"/>
          <w:szCs w:val="24"/>
        </w:rPr>
        <w:t>:</w:t>
      </w:r>
      <w:r w:rsidR="00256607" w:rsidRPr="00C33011">
        <w:rPr>
          <w:sz w:val="24"/>
          <w:szCs w:val="24"/>
        </w:rPr>
        <w:tab/>
      </w:r>
      <w:r w:rsidRPr="00C33011">
        <w:rPr>
          <w:sz w:val="24"/>
          <w:szCs w:val="24"/>
        </w:rPr>
        <w:t xml:space="preserve">IHO Resolution 2/1997 as amended </w:t>
      </w:r>
      <w:bookmarkStart w:id="0" w:name="_GoBack"/>
      <w:bookmarkEnd w:id="0"/>
    </w:p>
    <w:p w:rsidR="00256607" w:rsidRPr="00C33011" w:rsidRDefault="00256607"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97184A" w:rsidRDefault="0097184A" w:rsidP="0097184A">
      <w:pPr>
        <w:pStyle w:val="ListParagraph"/>
        <w:numPr>
          <w:ilvl w:val="1"/>
          <w:numId w:val="36"/>
        </w:numPr>
        <w:tabs>
          <w:tab w:val="left" w:pos="357"/>
        </w:tabs>
        <w:spacing w:after="0" w:line="240" w:lineRule="auto"/>
        <w:rPr>
          <w:sz w:val="24"/>
          <w:szCs w:val="24"/>
        </w:rPr>
      </w:pPr>
      <w:r>
        <w:rPr>
          <w:sz w:val="24"/>
          <w:szCs w:val="24"/>
        </w:rPr>
        <w:t>Policy issues regarding the collection and use of crowd-sourced bathymetry</w:t>
      </w:r>
    </w:p>
    <w:p w:rsidR="0097184A" w:rsidRPr="00C33011" w:rsidRDefault="00F674B8" w:rsidP="0097184A">
      <w:pPr>
        <w:pStyle w:val="ListParagraph"/>
        <w:numPr>
          <w:ilvl w:val="1"/>
          <w:numId w:val="36"/>
        </w:numPr>
        <w:tabs>
          <w:tab w:val="left" w:pos="357"/>
        </w:tabs>
        <w:spacing w:after="0" w:line="240" w:lineRule="auto"/>
        <w:rPr>
          <w:sz w:val="24"/>
          <w:szCs w:val="24"/>
        </w:rPr>
      </w:pPr>
      <w:r>
        <w:rPr>
          <w:sz w:val="24"/>
          <w:szCs w:val="24"/>
        </w:rPr>
        <w:t>Status of data collection</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ships</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Problems encountered</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 Distribution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3B6CB8" w:rsidP="00E05067">
      <w:pPr>
        <w:pStyle w:val="ListParagraph"/>
        <w:numPr>
          <w:ilvl w:val="0"/>
          <w:numId w:val="37"/>
        </w:numPr>
        <w:tabs>
          <w:tab w:val="left" w:pos="357"/>
        </w:tabs>
        <w:spacing w:after="0" w:line="240" w:lineRule="auto"/>
        <w:rPr>
          <w:sz w:val="24"/>
          <w:szCs w:val="24"/>
        </w:rPr>
      </w:pPr>
      <w:r w:rsidRPr="00C33011">
        <w:rPr>
          <w:sz w:val="24"/>
          <w:szCs w:val="24"/>
        </w:rPr>
        <w:t>Problems encountered</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rsidR="004C4803" w:rsidRPr="004C4803" w:rsidRDefault="004C4803"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rsidR="00B222D6" w:rsidRDefault="00B222D6" w:rsidP="00F7515C">
      <w:pPr>
        <w:pStyle w:val="ListParagraph"/>
        <w:tabs>
          <w:tab w:val="left" w:pos="357"/>
        </w:tabs>
        <w:spacing w:after="0" w:line="240" w:lineRule="auto"/>
        <w:ind w:left="360"/>
        <w:jc w:val="both"/>
        <w:rPr>
          <w:sz w:val="24"/>
          <w:szCs w:val="24"/>
        </w:rPr>
      </w:pPr>
      <w:r w:rsidRPr="00B222D6">
        <w:rPr>
          <w:sz w:val="24"/>
          <w:szCs w:val="24"/>
        </w:rPr>
        <w:lastRenderedPageBreak/>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5E640F">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Problems encountered</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for transmission</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Problems encountered</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A66C51">
        <w:rPr>
          <w:sz w:val="24"/>
          <w:szCs w:val="24"/>
        </w:rPr>
        <w:t xml:space="preserve"> Please indicate "no change" in Annex B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r w:rsidRPr="00C33011">
        <w:rPr>
          <w:sz w:val="24"/>
          <w:szCs w:val="24"/>
        </w:rPr>
        <w:tab/>
        <w:t>Offer of and/or demand for Capacity Building</w:t>
      </w:r>
    </w:p>
    <w:p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Pr>
          <w:sz w:val="24"/>
          <w:szCs w:val="24"/>
        </w:rPr>
        <w:t>request</w:t>
      </w:r>
      <w:r w:rsidRPr="00C33011">
        <w:rPr>
          <w:sz w:val="24"/>
          <w:szCs w:val="24"/>
        </w:rPr>
        <w:t xml:space="preserve">s </w:t>
      </w:r>
      <w:r w:rsidR="003B6CB8" w:rsidRPr="00C33011">
        <w:rPr>
          <w:sz w:val="24"/>
          <w:szCs w:val="24"/>
        </w:rPr>
        <w:t xml:space="preserve">to </w:t>
      </w:r>
      <w:r>
        <w:rPr>
          <w:sz w:val="24"/>
          <w:szCs w:val="24"/>
        </w:rPr>
        <w:t xml:space="preserve">be considered by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5E640F">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GEBCO/IBC’s activities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Problems encountered</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5E640F">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Participation in IHO Working Groups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Disaster prevention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Astronomical observations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lastRenderedPageBreak/>
        <w:t>Magnetic/Gravity surveys</w:t>
      </w:r>
    </w:p>
    <w:p w:rsidR="003B6CB8" w:rsidRDefault="003B6CB8" w:rsidP="00F50BFC">
      <w:pPr>
        <w:pStyle w:val="ListParagraph"/>
        <w:numPr>
          <w:ilvl w:val="0"/>
          <w:numId w:val="43"/>
        </w:numPr>
        <w:tabs>
          <w:tab w:val="left" w:pos="357"/>
        </w:tabs>
        <w:spacing w:after="0" w:line="240" w:lineRule="auto"/>
        <w:rPr>
          <w:sz w:val="24"/>
          <w:szCs w:val="24"/>
        </w:rPr>
      </w:pPr>
      <w:r w:rsidRPr="00C33011">
        <w:rPr>
          <w:sz w:val="24"/>
          <w:szCs w:val="24"/>
        </w:rPr>
        <w:t>MSDI Progress</w:t>
      </w:r>
      <w:r w:rsidR="0097184A">
        <w:rPr>
          <w:sz w:val="24"/>
          <w:szCs w:val="24"/>
        </w:rPr>
        <w:t>:</w:t>
      </w:r>
    </w:p>
    <w:p w:rsidR="0097184A" w:rsidRDefault="0097184A" w:rsidP="0097184A">
      <w:pPr>
        <w:pStyle w:val="ListParagraph"/>
        <w:numPr>
          <w:ilvl w:val="1"/>
          <w:numId w:val="43"/>
        </w:numPr>
        <w:tabs>
          <w:tab w:val="left" w:pos="357"/>
        </w:tabs>
        <w:spacing w:after="0" w:line="240" w:lineRule="auto"/>
        <w:rPr>
          <w:sz w:val="24"/>
          <w:szCs w:val="24"/>
        </w:rPr>
      </w:pPr>
      <w:r>
        <w:rPr>
          <w:sz w:val="24"/>
          <w:szCs w:val="24"/>
        </w:rPr>
        <w:t>Policy and Governance</w:t>
      </w:r>
    </w:p>
    <w:p w:rsidR="0097184A" w:rsidRDefault="0097184A" w:rsidP="0097184A">
      <w:pPr>
        <w:pStyle w:val="ListParagraph"/>
        <w:numPr>
          <w:ilvl w:val="1"/>
          <w:numId w:val="43"/>
        </w:numPr>
        <w:tabs>
          <w:tab w:val="left" w:pos="357"/>
        </w:tabs>
        <w:spacing w:after="0" w:line="240" w:lineRule="auto"/>
        <w:rPr>
          <w:sz w:val="24"/>
          <w:szCs w:val="24"/>
        </w:rPr>
      </w:pPr>
      <w:r>
        <w:rPr>
          <w:sz w:val="24"/>
          <w:szCs w:val="24"/>
        </w:rPr>
        <w:t>Technical Standards</w:t>
      </w:r>
    </w:p>
    <w:p w:rsidR="0097184A" w:rsidRDefault="0097184A" w:rsidP="0097184A">
      <w:pPr>
        <w:pStyle w:val="ListParagraph"/>
        <w:numPr>
          <w:ilvl w:val="1"/>
          <w:numId w:val="43"/>
        </w:numPr>
        <w:tabs>
          <w:tab w:val="left" w:pos="357"/>
        </w:tabs>
        <w:spacing w:after="0" w:line="240" w:lineRule="auto"/>
        <w:rPr>
          <w:sz w:val="24"/>
          <w:szCs w:val="24"/>
        </w:rPr>
      </w:pPr>
      <w:r>
        <w:rPr>
          <w:sz w:val="24"/>
          <w:szCs w:val="24"/>
        </w:rPr>
        <w:t>Information systems</w:t>
      </w:r>
    </w:p>
    <w:p w:rsidR="0097184A" w:rsidRPr="00C33011" w:rsidRDefault="0097184A" w:rsidP="0097184A">
      <w:pPr>
        <w:pStyle w:val="ListParagraph"/>
        <w:numPr>
          <w:ilvl w:val="1"/>
          <w:numId w:val="43"/>
        </w:numPr>
        <w:tabs>
          <w:tab w:val="left" w:pos="357"/>
        </w:tabs>
        <w:spacing w:after="0" w:line="240" w:lineRule="auto"/>
        <w:rPr>
          <w:sz w:val="24"/>
          <w:szCs w:val="24"/>
        </w:rPr>
      </w:pPr>
      <w:r>
        <w:rPr>
          <w:sz w:val="24"/>
          <w:szCs w:val="24"/>
        </w:rPr>
        <w:t>Data</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p>
    <w:p w:rsidR="003B6CB8" w:rsidRDefault="00F674B8" w:rsidP="00F50BFC">
      <w:pPr>
        <w:pStyle w:val="ListParagraph"/>
        <w:numPr>
          <w:ilvl w:val="0"/>
          <w:numId w:val="43"/>
        </w:numPr>
        <w:tabs>
          <w:tab w:val="left" w:pos="357"/>
        </w:tabs>
        <w:spacing w:after="0" w:line="240" w:lineRule="auto"/>
        <w:rPr>
          <w:sz w:val="24"/>
          <w:szCs w:val="24"/>
        </w:rPr>
      </w:pPr>
      <w:r>
        <w:rPr>
          <w:sz w:val="24"/>
          <w:szCs w:val="24"/>
        </w:rPr>
        <w:t>Use of risk to support survey and chart updating priorities</w:t>
      </w:r>
    </w:p>
    <w:p w:rsidR="00F50BFC" w:rsidRPr="00F50BFC" w:rsidRDefault="00F50BFC" w:rsidP="00F50BFC">
      <w:pPr>
        <w:tabs>
          <w:tab w:val="left" w:pos="357"/>
        </w:tabs>
        <w:spacing w:after="0" w:line="240" w:lineRule="auto"/>
        <w:ind w:left="360"/>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5E640F">
        <w:rPr>
          <w:i/>
          <w:sz w:val="24"/>
          <w:szCs w:val="24"/>
        </w:rPr>
        <w:t>SWPHC</w:t>
      </w:r>
      <w:r w:rsidR="005913DD">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default" r:id="rId7"/>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AC0207" w:rsidRDefault="00AC0207" w:rsidP="00F50BFC">
      <w:pPr>
        <w:tabs>
          <w:tab w:val="right" w:pos="8880"/>
        </w:tabs>
        <w:spacing w:after="0" w:line="240" w:lineRule="auto"/>
        <w:jc w:val="center"/>
        <w:rPr>
          <w:sz w:val="24"/>
          <w:szCs w:val="24"/>
        </w:rPr>
      </w:pPr>
    </w:p>
    <w:p w:rsidR="00F50BFC" w:rsidRDefault="00AC0207" w:rsidP="00F50BFC">
      <w:pPr>
        <w:tabs>
          <w:tab w:val="right" w:pos="8880"/>
        </w:tabs>
        <w:spacing w:after="0" w:line="240" w:lineRule="auto"/>
        <w:jc w:val="center"/>
        <w:rPr>
          <w:sz w:val="24"/>
          <w:szCs w:val="24"/>
        </w:rPr>
      </w:pPr>
      <w:r>
        <w:rPr>
          <w:sz w:val="24"/>
          <w:szCs w:val="24"/>
        </w:rPr>
        <w:t>(Please provide the information in English)</w:t>
      </w:r>
    </w:p>
    <w:p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D504D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Información de </w:t>
            </w:r>
            <w:proofErr w:type="spellStart"/>
            <w:r w:rsidRPr="0058195A">
              <w:rPr>
                <w:b/>
                <w:bCs/>
                <w:color w:val="000000"/>
                <w:sz w:val="24"/>
                <w:szCs w:val="24"/>
                <w:lang w:val="fr-FR"/>
              </w:rPr>
              <w:t>contacto</w:t>
            </w:r>
            <w:proofErr w:type="spellEnd"/>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Hydrographer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del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w:t>
            </w:r>
            <w:proofErr w:type="spellStart"/>
            <w:r w:rsidRPr="0058195A">
              <w:rPr>
                <w:color w:val="000000"/>
                <w:sz w:val="24"/>
                <w:szCs w:val="24"/>
                <w:lang w:val="en-US"/>
              </w:rPr>
              <w:t>Directeur</w:t>
            </w:r>
            <w:proofErr w:type="spellEnd"/>
            <w:r w:rsidRPr="0058195A">
              <w:rPr>
                <w:color w:val="000000"/>
                <w:sz w:val="24"/>
                <w:szCs w:val="24"/>
                <w:lang w:val="en-US"/>
              </w:rPr>
              <w:t xml:space="preserve">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w:t>
            </w:r>
            <w:proofErr w:type="spellStart"/>
            <w:r w:rsidRPr="0058195A">
              <w:rPr>
                <w:color w:val="000000"/>
                <w:sz w:val="24"/>
                <w:szCs w:val="24"/>
                <w:lang w:val="en-US"/>
              </w:rPr>
              <w:t>dessus</w:t>
            </w:r>
            <w:proofErr w:type="spellEnd"/>
            <w:r w:rsidRPr="0058195A">
              <w:rPr>
                <w:color w:val="000000"/>
                <w:sz w:val="24"/>
                <w:szCs w:val="24"/>
                <w:lang w:val="en-US"/>
              </w:rPr>
              <w:t>)</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w:t>
            </w:r>
            <w:proofErr w:type="spellStart"/>
            <w:r w:rsidRPr="0058195A">
              <w:rPr>
                <w:color w:val="000000"/>
                <w:sz w:val="24"/>
                <w:szCs w:val="24"/>
                <w:lang w:val="en-US"/>
              </w:rPr>
              <w:t>sitio</w:t>
            </w:r>
            <w:proofErr w:type="spellEnd"/>
            <w:r w:rsidRPr="0058195A">
              <w:rPr>
                <w:color w:val="000000"/>
                <w:sz w:val="24"/>
                <w:szCs w:val="24"/>
                <w:lang w:val="en-US"/>
              </w:rPr>
              <w:t xml:space="preserve">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Información sobre el </w:t>
            </w:r>
            <w:proofErr w:type="spellStart"/>
            <w:r w:rsidRPr="0058195A">
              <w:rPr>
                <w:b/>
                <w:bCs/>
                <w:color w:val="000000"/>
                <w:sz w:val="24"/>
                <w:szCs w:val="24"/>
                <w:lang w:val="fr-FR"/>
              </w:rPr>
              <w:t>país</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D504D8"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w:t>
            </w:r>
            <w:proofErr w:type="gramStart"/>
            <w:r w:rsidRPr="0058195A">
              <w:rPr>
                <w:color w:val="000000"/>
                <w:sz w:val="24"/>
                <w:szCs w:val="24"/>
                <w:lang w:val="fr-FR"/>
              </w:rPr>
              <w:t>a</w:t>
            </w:r>
            <w:proofErr w:type="gramEnd"/>
            <w:r w:rsidRPr="0058195A">
              <w:rPr>
                <w:color w:val="000000"/>
                <w:sz w:val="24"/>
                <w:szCs w:val="24"/>
                <w:lang w:val="fr-FR"/>
              </w:rPr>
              <w:t xml:space="preserve">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sur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Información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-Top level parent </w:t>
            </w:r>
            <w:proofErr w:type="spellStart"/>
            <w:r w:rsidRPr="0058195A">
              <w:rPr>
                <w:color w:val="000000"/>
                <w:sz w:val="24"/>
                <w:szCs w:val="24"/>
                <w:lang w:val="en-US"/>
              </w:rPr>
              <w:t>organisation</w:t>
            </w:r>
            <w:proofErr w:type="spellEnd"/>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w:t>
            </w:r>
            <w:proofErr w:type="gramStart"/>
            <w:r w:rsidRPr="0058195A">
              <w:rPr>
                <w:color w:val="000000"/>
                <w:sz w:val="24"/>
                <w:szCs w:val="24"/>
                <w:lang w:val="fr-FR"/>
              </w:rPr>
              <w:t xml:space="preserve">la </w:t>
            </w:r>
            <w:proofErr w:type="spellStart"/>
            <w:r w:rsidRPr="0058195A">
              <w:rPr>
                <w:color w:val="000000"/>
                <w:sz w:val="24"/>
                <w:szCs w:val="24"/>
                <w:lang w:val="fr-FR"/>
              </w:rPr>
              <w:t>Organización</w:t>
            </w:r>
            <w:proofErr w:type="spellEnd"/>
            <w:proofErr w:type="gram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D504D8"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w:t>
            </w:r>
            <w:proofErr w:type="spellStart"/>
            <w:r w:rsidRPr="0058195A">
              <w:rPr>
                <w:color w:val="000000"/>
                <w:sz w:val="24"/>
                <w:szCs w:val="24"/>
                <w:lang w:val="fr-FR"/>
              </w:rPr>
              <w:t>Tipo</w:t>
            </w:r>
            <w:proofErr w:type="spellEnd"/>
            <w:r w:rsidRPr="0058195A">
              <w:rPr>
                <w:color w:val="000000"/>
                <w:sz w:val="24"/>
                <w:szCs w:val="24"/>
                <w:lang w:val="fr-FR"/>
              </w:rPr>
              <w:t xml:space="preserve">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8"/>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58195A" w:rsidRPr="0058195A"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Iso</w:t>
            </w:r>
            <w:proofErr w:type="spellEnd"/>
            <w:r w:rsidRPr="0058195A">
              <w:rPr>
                <w:color w:val="000000"/>
                <w:sz w:val="24"/>
                <w:szCs w:val="24"/>
                <w:lang w:val="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Nav</w:t>
            </w:r>
            <w:proofErr w:type="spellEnd"/>
            <w:r w:rsidRPr="0058195A">
              <w:rPr>
                <w:color w:val="000000"/>
                <w:sz w:val="24"/>
                <w:szCs w:val="24"/>
                <w:lang w:val="en-US"/>
              </w:rPr>
              <w:t xml:space="preserve">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SafetyNet</w:t>
            </w:r>
            <w:proofErr w:type="spellEnd"/>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B642C1">
          <w:headerReference w:type="default" r:id="rId9"/>
          <w:pgSz w:w="11906" w:h="16838" w:code="9"/>
          <w:pgMar w:top="1418" w:right="1418" w:bottom="1418"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7D23A7" w:rsidRDefault="007D23A7" w:rsidP="007D23A7">
      <w:pPr>
        <w:tabs>
          <w:tab w:val="right" w:pos="8880"/>
        </w:tabs>
        <w:spacing w:after="0" w:line="240" w:lineRule="auto"/>
        <w:jc w:val="center"/>
        <w:rPr>
          <w:sz w:val="24"/>
          <w:szCs w:val="24"/>
        </w:rPr>
      </w:pP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rsidR="00B642C1" w:rsidRDefault="00B642C1" w:rsidP="00B642C1">
      <w:pPr>
        <w:tabs>
          <w:tab w:val="right" w:pos="8880"/>
        </w:tabs>
        <w:spacing w:after="0" w:line="240" w:lineRule="auto"/>
        <w:rPr>
          <w:sz w:val="24"/>
          <w:szCs w:val="24"/>
        </w:rPr>
      </w:pPr>
    </w:p>
    <w:p w:rsidR="007D23A7" w:rsidRPr="00B642C1" w:rsidRDefault="007D23A7"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 xml:space="preserve">[Diagram of NAVTEX stations and service areas within maritime area; Contact details for NAVTEX Stations; </w:t>
      </w:r>
      <w:proofErr w:type="gramStart"/>
      <w:r w:rsidRPr="00B642C1">
        <w:rPr>
          <w:i/>
          <w:sz w:val="24"/>
          <w:szCs w:val="24"/>
        </w:rPr>
        <w:t>Confirm</w:t>
      </w:r>
      <w:proofErr w:type="gramEnd"/>
      <w:r w:rsidRPr="00B642C1">
        <w:rPr>
          <w:i/>
          <w:sz w:val="24"/>
          <w:szCs w:val="24"/>
        </w:rPr>
        <w:t xml:space="preserve">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60" w:rsidRDefault="00350C60" w:rsidP="00F257C8">
      <w:pPr>
        <w:spacing w:after="0" w:line="240" w:lineRule="auto"/>
      </w:pPr>
      <w:r>
        <w:separator/>
      </w:r>
    </w:p>
  </w:endnote>
  <w:endnote w:type="continuationSeparator" w:id="0">
    <w:p w:rsidR="00350C60" w:rsidRDefault="00350C60"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60" w:rsidRDefault="00350C60" w:rsidP="00F257C8">
      <w:pPr>
        <w:spacing w:after="0" w:line="240" w:lineRule="auto"/>
      </w:pPr>
      <w:r>
        <w:separator/>
      </w:r>
    </w:p>
  </w:footnote>
  <w:footnote w:type="continuationSeparator" w:id="0">
    <w:p w:rsidR="00350C60" w:rsidRDefault="00350C60" w:rsidP="00F2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658" w:type="dxa"/>
      <w:tblLook w:val="04A0" w:firstRow="1" w:lastRow="0" w:firstColumn="1" w:lastColumn="0" w:noHBand="0" w:noVBand="1"/>
    </w:tblPr>
    <w:tblGrid>
      <w:gridCol w:w="2402"/>
    </w:tblGrid>
    <w:tr w:rsidR="00E26098" w:rsidRPr="00E26098" w:rsidTr="00157FA5">
      <w:tc>
        <w:tcPr>
          <w:tcW w:w="2402" w:type="dxa"/>
        </w:tcPr>
        <w:p w:rsidR="00E26098" w:rsidRPr="00E26098" w:rsidRDefault="007B1351" w:rsidP="00F7515C">
          <w:pPr>
            <w:pStyle w:val="Header"/>
            <w:rPr>
              <w:rFonts w:ascii="Times New Roman" w:hAnsi="Times New Roman"/>
              <w:sz w:val="22"/>
            </w:rPr>
          </w:pPr>
          <w:r>
            <w:rPr>
              <w:rFonts w:ascii="Times New Roman" w:hAnsi="Times New Roman"/>
              <w:sz w:val="22"/>
            </w:rPr>
            <w:t>SWPHC16-[07 or 08]</w:t>
          </w:r>
          <w:r w:rsidR="00F7515C">
            <w:rPr>
              <w:rFonts w:ascii="Times New Roman" w:hAnsi="Times New Roman"/>
              <w:sz w:val="22"/>
            </w:rPr>
            <w:t>xx</w:t>
          </w:r>
        </w:p>
      </w:tc>
    </w:tr>
  </w:tbl>
  <w:p w:rsidR="00E26098" w:rsidRDefault="00E26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9"/>
  </w:num>
  <w:num w:numId="3">
    <w:abstractNumId w:val="6"/>
  </w:num>
  <w:num w:numId="4">
    <w:abstractNumId w:val="3"/>
  </w:num>
  <w:num w:numId="5">
    <w:abstractNumId w:val="34"/>
  </w:num>
  <w:num w:numId="6">
    <w:abstractNumId w:val="43"/>
  </w:num>
  <w:num w:numId="7">
    <w:abstractNumId w:val="13"/>
  </w:num>
  <w:num w:numId="8">
    <w:abstractNumId w:val="38"/>
  </w:num>
  <w:num w:numId="9">
    <w:abstractNumId w:val="33"/>
  </w:num>
  <w:num w:numId="10">
    <w:abstractNumId w:val="29"/>
  </w:num>
  <w:num w:numId="11">
    <w:abstractNumId w:val="22"/>
  </w:num>
  <w:num w:numId="12">
    <w:abstractNumId w:val="7"/>
  </w:num>
  <w:num w:numId="13">
    <w:abstractNumId w:val="35"/>
  </w:num>
  <w:num w:numId="14">
    <w:abstractNumId w:val="16"/>
  </w:num>
  <w:num w:numId="15">
    <w:abstractNumId w:val="2"/>
  </w:num>
  <w:num w:numId="16">
    <w:abstractNumId w:val="37"/>
  </w:num>
  <w:num w:numId="17">
    <w:abstractNumId w:val="36"/>
  </w:num>
  <w:num w:numId="18">
    <w:abstractNumId w:val="31"/>
  </w:num>
  <w:num w:numId="19">
    <w:abstractNumId w:val="21"/>
  </w:num>
  <w:num w:numId="20">
    <w:abstractNumId w:val="15"/>
  </w:num>
  <w:num w:numId="21">
    <w:abstractNumId w:val="30"/>
  </w:num>
  <w:num w:numId="22">
    <w:abstractNumId w:val="27"/>
  </w:num>
  <w:num w:numId="23">
    <w:abstractNumId w:val="41"/>
  </w:num>
  <w:num w:numId="24">
    <w:abstractNumId w:val="20"/>
  </w:num>
  <w:num w:numId="25">
    <w:abstractNumId w:val="1"/>
  </w:num>
  <w:num w:numId="26">
    <w:abstractNumId w:val="0"/>
  </w:num>
  <w:num w:numId="27">
    <w:abstractNumId w:val="5"/>
  </w:num>
  <w:num w:numId="28">
    <w:abstractNumId w:val="28"/>
  </w:num>
  <w:num w:numId="29">
    <w:abstractNumId w:val="9"/>
  </w:num>
  <w:num w:numId="30">
    <w:abstractNumId w:val="42"/>
  </w:num>
  <w:num w:numId="31">
    <w:abstractNumId w:val="14"/>
  </w:num>
  <w:num w:numId="32">
    <w:abstractNumId w:val="40"/>
  </w:num>
  <w:num w:numId="33">
    <w:abstractNumId w:val="10"/>
  </w:num>
  <w:num w:numId="34">
    <w:abstractNumId w:val="25"/>
  </w:num>
  <w:num w:numId="35">
    <w:abstractNumId w:val="8"/>
  </w:num>
  <w:num w:numId="36">
    <w:abstractNumId w:val="19"/>
  </w:num>
  <w:num w:numId="37">
    <w:abstractNumId w:val="11"/>
  </w:num>
  <w:num w:numId="38">
    <w:abstractNumId w:val="4"/>
  </w:num>
  <w:num w:numId="39">
    <w:abstractNumId w:val="24"/>
  </w:num>
  <w:num w:numId="40">
    <w:abstractNumId w:val="12"/>
  </w:num>
  <w:num w:numId="41">
    <w:abstractNumId w:val="26"/>
  </w:num>
  <w:num w:numId="42">
    <w:abstractNumId w:val="32"/>
  </w:num>
  <w:num w:numId="43">
    <w:abstractNumId w:val="23"/>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57FA5"/>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4735F"/>
    <w:rsid w:val="00350BA3"/>
    <w:rsid w:val="00350C60"/>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5E640F"/>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351"/>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Alberto Costa Neves</cp:lastModifiedBy>
  <cp:revision>13</cp:revision>
  <cp:lastPrinted>2015-07-14T12:27:00Z</cp:lastPrinted>
  <dcterms:created xsi:type="dcterms:W3CDTF">2016-09-29T13:46:00Z</dcterms:created>
  <dcterms:modified xsi:type="dcterms:W3CDTF">2018-11-29T17:32:00Z</dcterms:modified>
</cp:coreProperties>
</file>