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51" w:rsidRPr="00892E93" w:rsidRDefault="00F55801" w:rsidP="00E54451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  <w:bdr w:val="single" w:sz="4" w:space="0" w:color="auto"/>
        </w:rPr>
        <w:t>DQWG1</w:t>
      </w:r>
      <w:r w:rsidR="002B40FE">
        <w:rPr>
          <w:rFonts w:ascii="Arial Narrow" w:hAnsi="Arial Narrow"/>
          <w:b/>
          <w:sz w:val="22"/>
          <w:szCs w:val="22"/>
          <w:bdr w:val="single" w:sz="4" w:space="0" w:color="auto"/>
        </w:rPr>
        <w:t>4</w:t>
      </w:r>
      <w:r>
        <w:rPr>
          <w:rFonts w:ascii="Arial Narrow" w:hAnsi="Arial Narrow"/>
          <w:b/>
          <w:sz w:val="22"/>
          <w:szCs w:val="22"/>
          <w:bdr w:val="single" w:sz="4" w:space="0" w:color="auto"/>
        </w:rPr>
        <w:t>-</w:t>
      </w:r>
      <w:r w:rsidR="002B40FE">
        <w:rPr>
          <w:rFonts w:ascii="Arial Narrow" w:hAnsi="Arial Narrow"/>
          <w:b/>
          <w:sz w:val="22"/>
          <w:szCs w:val="22"/>
          <w:bdr w:val="single" w:sz="4" w:space="0" w:color="auto"/>
        </w:rPr>
        <w:t>07F</w:t>
      </w:r>
      <w:r w:rsidR="00E54451" w:rsidRPr="00892E93">
        <w:rPr>
          <w:rFonts w:ascii="Arial Narrow" w:hAnsi="Arial Narrow"/>
          <w:b/>
          <w:sz w:val="22"/>
          <w:szCs w:val="22"/>
          <w:bdr w:val="single" w:sz="4" w:space="0" w:color="auto"/>
        </w:rPr>
        <w:t xml:space="preserve"> </w:t>
      </w:r>
    </w:p>
    <w:p w:rsidR="00E54451" w:rsidRPr="00F543C9" w:rsidRDefault="00E54451" w:rsidP="00E54451">
      <w:pPr>
        <w:pStyle w:val="Heading2"/>
        <w:jc w:val="center"/>
        <w:rPr>
          <w:szCs w:val="22"/>
        </w:rPr>
      </w:pPr>
      <w:r w:rsidRPr="00F543C9">
        <w:rPr>
          <w:szCs w:val="22"/>
        </w:rPr>
        <w:t xml:space="preserve">Paper for Consideration by </w:t>
      </w:r>
      <w:r w:rsidR="00F55801">
        <w:rPr>
          <w:szCs w:val="22"/>
        </w:rPr>
        <w:t>Data Quality Working Group</w:t>
      </w:r>
    </w:p>
    <w:p w:rsidR="00E54451" w:rsidRPr="00F543C9" w:rsidRDefault="002B40FE" w:rsidP="00E54451">
      <w:pPr>
        <w:pStyle w:val="Heading2"/>
        <w:jc w:val="center"/>
        <w:rPr>
          <w:szCs w:val="22"/>
        </w:rPr>
      </w:pPr>
      <w:r>
        <w:rPr>
          <w:szCs w:val="22"/>
        </w:rPr>
        <w:t>Review S-127 Product Specification on Data Quality aspects</w:t>
      </w:r>
    </w:p>
    <w:p w:rsidR="00E54451" w:rsidRPr="00F543C9" w:rsidRDefault="00E54451" w:rsidP="00E54451">
      <w:pPr>
        <w:rPr>
          <w:rFonts w:ascii="Arial Narrow" w:hAnsi="Arial Narrow"/>
          <w:sz w:val="22"/>
          <w:szCs w:val="22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6271"/>
      </w:tblGrid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sz w:val="22"/>
                <w:szCs w:val="22"/>
                <w:lang w:val="en-AU"/>
              </w:rPr>
              <w:br w:type="page"/>
            </w: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Submitted by:</w:t>
            </w:r>
          </w:p>
        </w:tc>
        <w:tc>
          <w:tcPr>
            <w:tcW w:w="6271" w:type="dxa"/>
          </w:tcPr>
          <w:p w:rsidR="00E54451" w:rsidRPr="00F543C9" w:rsidRDefault="002B40FE" w:rsidP="002B40FE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DQWG Chair on behalf of NIPWG Chair</w:t>
            </w:r>
          </w:p>
        </w:tc>
      </w:tr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Executive Summary:</w:t>
            </w:r>
          </w:p>
        </w:tc>
        <w:tc>
          <w:tcPr>
            <w:tcW w:w="6271" w:type="dxa"/>
          </w:tcPr>
          <w:p w:rsidR="00E54451" w:rsidRPr="00F543C9" w:rsidRDefault="002B40FE" w:rsidP="002B40FE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Request from NIPWG to review S-127 PS</w:t>
            </w:r>
            <w:r w:rsidR="00E54451" w:rsidRPr="00F543C9">
              <w:rPr>
                <w:rFonts w:ascii="Arial Narrow" w:hAnsi="Arial Narrow"/>
                <w:sz w:val="22"/>
                <w:szCs w:val="22"/>
                <w:lang w:val="en-AU"/>
              </w:rPr>
              <w:t>.</w:t>
            </w:r>
          </w:p>
        </w:tc>
      </w:tr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Documents:</w:t>
            </w:r>
          </w:p>
        </w:tc>
        <w:tc>
          <w:tcPr>
            <w:tcW w:w="6271" w:type="dxa"/>
          </w:tcPr>
          <w:p w:rsidR="00E54451" w:rsidRPr="00F543C9" w:rsidRDefault="002B40FE" w:rsidP="002B40FE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NIPWG_Letter_2018_07</w:t>
            </w:r>
          </w:p>
        </w:tc>
      </w:tr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Projects:</w:t>
            </w:r>
          </w:p>
        </w:tc>
        <w:tc>
          <w:tcPr>
            <w:tcW w:w="6271" w:type="dxa"/>
          </w:tcPr>
          <w:p w:rsidR="00E54451" w:rsidRPr="00F543C9" w:rsidRDefault="002B40FE" w:rsidP="002B40FE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DQWG14-07A</w:t>
            </w:r>
          </w:p>
        </w:tc>
      </w:tr>
    </w:tbl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Introduction / Background</w:t>
      </w:r>
    </w:p>
    <w:p w:rsidR="00E54451" w:rsidRPr="00F543C9" w:rsidRDefault="002B40FE" w:rsidP="00E54451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 xml:space="preserve">NIPWG Letter 7/2018 (12 </w:t>
      </w:r>
      <w:r w:rsidR="00F80D6B">
        <w:rPr>
          <w:rFonts w:ascii="Arial Narrow" w:hAnsi="Arial Narrow"/>
          <w:sz w:val="22"/>
          <w:szCs w:val="22"/>
          <w:lang w:val="en-AU"/>
        </w:rPr>
        <w:t>December</w:t>
      </w:r>
      <w:r>
        <w:rPr>
          <w:rFonts w:ascii="Arial Narrow" w:hAnsi="Arial Narrow"/>
          <w:sz w:val="22"/>
          <w:szCs w:val="22"/>
          <w:lang w:val="en-AU"/>
        </w:rPr>
        <w:t xml:space="preserve"> 2018)</w:t>
      </w:r>
      <w:r w:rsidR="00A478AE">
        <w:rPr>
          <w:rFonts w:ascii="Arial Narrow" w:hAnsi="Arial Narrow"/>
          <w:sz w:val="22"/>
          <w:szCs w:val="22"/>
          <w:lang w:val="en-AU"/>
        </w:rPr>
        <w:t xml:space="preserve"> informs DQWG of the completion of S-127 (Marine Traffic Management) product specification development</w:t>
      </w:r>
      <w:r w:rsidR="00E54451" w:rsidRPr="00F543C9">
        <w:rPr>
          <w:rFonts w:ascii="Arial Narrow" w:hAnsi="Arial Narrow"/>
          <w:sz w:val="22"/>
          <w:szCs w:val="22"/>
          <w:lang w:val="en-AU"/>
        </w:rPr>
        <w:t>.</w:t>
      </w: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Analysis/Discussion</w:t>
      </w:r>
    </w:p>
    <w:p w:rsidR="00E54451" w:rsidRDefault="00A478AE" w:rsidP="00A478AE">
      <w:pPr>
        <w:pStyle w:val="subpara"/>
        <w:ind w:left="0" w:firstLine="0"/>
        <w:rPr>
          <w:szCs w:val="22"/>
        </w:rPr>
      </w:pPr>
      <w:r>
        <w:rPr>
          <w:szCs w:val="22"/>
        </w:rPr>
        <w:t>DQWG is invited by NIPWG to submit their findings at the earliest convenience.</w:t>
      </w:r>
    </w:p>
    <w:p w:rsidR="00A478AE" w:rsidRDefault="00A478AE" w:rsidP="00A478AE">
      <w:pPr>
        <w:pStyle w:val="subpara"/>
        <w:ind w:left="0" w:firstLine="0"/>
        <w:jc w:val="left"/>
        <w:rPr>
          <w:szCs w:val="22"/>
        </w:rPr>
      </w:pPr>
      <w:r w:rsidRPr="00A478AE">
        <w:rPr>
          <w:szCs w:val="22"/>
        </w:rPr>
        <w:t>In consideration of IHO Res. 2/2007 (under revision), the Product Specification files and collected feedback have been uploaded on the N</w:t>
      </w:r>
      <w:r>
        <w:rPr>
          <w:szCs w:val="22"/>
        </w:rPr>
        <w:t>IPWG Product Specification site:</w:t>
      </w:r>
    </w:p>
    <w:p w:rsidR="00A478AE" w:rsidRPr="00F543C9" w:rsidRDefault="00F80D6B" w:rsidP="00A478AE">
      <w:pPr>
        <w:pStyle w:val="subpara"/>
        <w:ind w:left="0" w:firstLine="0"/>
        <w:jc w:val="left"/>
        <w:rPr>
          <w:szCs w:val="22"/>
        </w:rPr>
      </w:pPr>
      <w:hyperlink r:id="rId4" w:history="1">
        <w:r w:rsidR="00A478AE" w:rsidRPr="00A478AE">
          <w:rPr>
            <w:rStyle w:val="Hyperlink"/>
            <w:szCs w:val="22"/>
          </w:rPr>
          <w:t>https://www.iho.int/mtg_docs/com_wg/NIPWG/NIPWG_Misc/NIPWG_ProdSpecs.htm</w:t>
        </w:r>
      </w:hyperlink>
      <w:r w:rsidR="00A478AE" w:rsidRPr="00A478AE">
        <w:rPr>
          <w:szCs w:val="22"/>
        </w:rPr>
        <w:t xml:space="preserve"> and is available for download.</w:t>
      </w: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Conclusions</w:t>
      </w:r>
    </w:p>
    <w:p w:rsidR="00E54451" w:rsidRPr="00F543C9" w:rsidRDefault="00E54451" w:rsidP="00E54451">
      <w:pPr>
        <w:rPr>
          <w:rFonts w:ascii="Arial Narrow" w:hAnsi="Arial Narrow"/>
          <w:sz w:val="22"/>
          <w:szCs w:val="22"/>
          <w:lang w:val="en-AU"/>
        </w:rPr>
      </w:pPr>
      <w:r w:rsidRPr="00F543C9">
        <w:rPr>
          <w:rFonts w:ascii="Arial Narrow" w:hAnsi="Arial Narrow"/>
          <w:sz w:val="22"/>
          <w:szCs w:val="22"/>
          <w:lang w:val="en-AU"/>
        </w:rPr>
        <w:t>Any conclusions that may be drawn from the analysis/discussion.</w:t>
      </w: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Recommendations</w:t>
      </w:r>
    </w:p>
    <w:p w:rsidR="00E54451" w:rsidRPr="00F543C9" w:rsidRDefault="00A478AE" w:rsidP="00E54451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DQWG is invited to review this Product Specification and associated documents in line with paper DQWG14-07A</w:t>
      </w:r>
      <w:r w:rsidR="00E54451" w:rsidRPr="00F543C9">
        <w:rPr>
          <w:rFonts w:ascii="Arial Narrow" w:hAnsi="Arial Narrow"/>
          <w:sz w:val="22"/>
          <w:szCs w:val="22"/>
          <w:lang w:val="en-AU"/>
        </w:rPr>
        <w:t>.</w:t>
      </w: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Justifica</w:t>
      </w:r>
      <w:r w:rsidRPr="00F543C9">
        <w:rPr>
          <w:b w:val="0"/>
          <w:szCs w:val="22"/>
        </w:rPr>
        <w:t>t</w:t>
      </w:r>
      <w:r w:rsidRPr="00F543C9">
        <w:rPr>
          <w:szCs w:val="22"/>
        </w:rPr>
        <w:t>ion and Impacts</w:t>
      </w:r>
    </w:p>
    <w:p w:rsidR="00E54451" w:rsidRPr="00F543C9" w:rsidRDefault="00E54451" w:rsidP="00A478AE">
      <w:pPr>
        <w:pStyle w:val="subpara"/>
        <w:ind w:left="0" w:firstLine="0"/>
        <w:rPr>
          <w:szCs w:val="22"/>
        </w:rPr>
      </w:pPr>
    </w:p>
    <w:p w:rsidR="00E54451" w:rsidRPr="00F543C9" w:rsidRDefault="00F55801" w:rsidP="00E54451">
      <w:pPr>
        <w:pStyle w:val="Heading2"/>
        <w:rPr>
          <w:szCs w:val="22"/>
        </w:rPr>
      </w:pPr>
      <w:r>
        <w:rPr>
          <w:szCs w:val="22"/>
        </w:rPr>
        <w:t>Action Required of Data Quality Working Group</w:t>
      </w:r>
    </w:p>
    <w:p w:rsidR="00E54451" w:rsidRPr="00F543C9" w:rsidRDefault="00F55801" w:rsidP="00E54451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The DQWG</w:t>
      </w:r>
      <w:r w:rsidR="00E54451" w:rsidRPr="00F543C9">
        <w:rPr>
          <w:rFonts w:ascii="Arial Narrow" w:hAnsi="Arial Narrow"/>
          <w:sz w:val="22"/>
          <w:szCs w:val="22"/>
          <w:lang w:val="en-AU"/>
        </w:rPr>
        <w:t xml:space="preserve"> is invited to:</w:t>
      </w:r>
    </w:p>
    <w:p w:rsidR="00E54451" w:rsidRPr="00F543C9" w:rsidRDefault="00E54451" w:rsidP="00E54451">
      <w:pPr>
        <w:pStyle w:val="subpara"/>
        <w:rPr>
          <w:szCs w:val="22"/>
        </w:rPr>
      </w:pPr>
      <w:r w:rsidRPr="00F543C9">
        <w:rPr>
          <w:szCs w:val="22"/>
        </w:rPr>
        <w:t>a.</w:t>
      </w:r>
      <w:r w:rsidRPr="00F543C9">
        <w:rPr>
          <w:szCs w:val="22"/>
        </w:rPr>
        <w:tab/>
      </w:r>
      <w:r w:rsidR="00A478AE">
        <w:rPr>
          <w:szCs w:val="22"/>
        </w:rPr>
        <w:t>note this report;</w:t>
      </w:r>
    </w:p>
    <w:p w:rsidR="00E54451" w:rsidRPr="00F543C9" w:rsidRDefault="00E54451" w:rsidP="00E54451">
      <w:pPr>
        <w:pStyle w:val="subpara"/>
        <w:rPr>
          <w:szCs w:val="22"/>
        </w:rPr>
      </w:pPr>
      <w:r w:rsidRPr="00F543C9">
        <w:rPr>
          <w:szCs w:val="22"/>
        </w:rPr>
        <w:t>b.</w:t>
      </w:r>
      <w:r w:rsidRPr="00F543C9">
        <w:rPr>
          <w:szCs w:val="22"/>
        </w:rPr>
        <w:tab/>
      </w:r>
      <w:r w:rsidR="00A478AE">
        <w:rPr>
          <w:szCs w:val="22"/>
        </w:rPr>
        <w:t>take the appropriate actions.</w:t>
      </w:r>
    </w:p>
    <w:p w:rsidR="00E54451" w:rsidRPr="00F543C9" w:rsidRDefault="00E54451" w:rsidP="00E54451">
      <w:pPr>
        <w:pStyle w:val="subpara"/>
        <w:rPr>
          <w:szCs w:val="22"/>
        </w:rPr>
      </w:pPr>
    </w:p>
    <w:p w:rsidR="0007579F" w:rsidRPr="00E54451" w:rsidRDefault="0007579F">
      <w:pPr>
        <w:rPr>
          <w:lang w:val="en-AU"/>
        </w:rPr>
      </w:pPr>
    </w:p>
    <w:sectPr w:rsidR="0007579F" w:rsidRPr="00E544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51"/>
    <w:rsid w:val="0007579F"/>
    <w:rsid w:val="002B40FE"/>
    <w:rsid w:val="00A478AE"/>
    <w:rsid w:val="00E54451"/>
    <w:rsid w:val="00F55801"/>
    <w:rsid w:val="00F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AFA4-45EE-467D-9627-0022FCF8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54451"/>
    <w:pPr>
      <w:keepNext/>
      <w:spacing w:before="240"/>
      <w:outlineLvl w:val="1"/>
    </w:pPr>
    <w:rPr>
      <w:rFonts w:ascii="Arial Narrow" w:hAnsi="Arial Narrow"/>
      <w:b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4451"/>
    <w:rPr>
      <w:rFonts w:ascii="Arial Narrow" w:eastAsia="Times New Roman" w:hAnsi="Arial Narrow" w:cs="Times New Roman"/>
      <w:b/>
      <w:szCs w:val="20"/>
      <w:lang w:val="en-AU"/>
    </w:rPr>
  </w:style>
  <w:style w:type="paragraph" w:customStyle="1" w:styleId="subpara">
    <w:name w:val="sub para"/>
    <w:basedOn w:val="Normal"/>
    <w:rsid w:val="00E54451"/>
    <w:pPr>
      <w:spacing w:before="60" w:after="60"/>
      <w:ind w:left="1134" w:right="794" w:hanging="567"/>
      <w:jc w:val="both"/>
    </w:pPr>
    <w:rPr>
      <w:rFonts w:ascii="Arial Narrow" w:hAnsi="Arial Narrow"/>
      <w:sz w:val="22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A478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D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ho.int/mtg_docs/com_wg/NIPWG/NIPWG_Misc/NIPWG_ProdSpec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6CD515C1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Broekman, R, CZSK/OPS/HYD/KCG&amp;G</dc:creator>
  <cp:lastModifiedBy>Broekman, R, CZSK/OPS/HYD/KCG&amp;G</cp:lastModifiedBy>
  <cp:revision>4</cp:revision>
  <cp:lastPrinted>2019-01-29T12:22:00Z</cp:lastPrinted>
  <dcterms:created xsi:type="dcterms:W3CDTF">2017-12-08T13:23:00Z</dcterms:created>
  <dcterms:modified xsi:type="dcterms:W3CDTF">2019-01-29T12:26:00Z</dcterms:modified>
</cp:coreProperties>
</file>